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E44" w:rsidRPr="00160E44" w:rsidRDefault="00160E44" w:rsidP="00160E44">
      <w:pPr>
        <w:rPr>
          <w:b/>
        </w:rPr>
      </w:pPr>
      <w:proofErr w:type="spellStart"/>
      <w:r w:rsidRPr="00160E44">
        <w:rPr>
          <w:b/>
        </w:rPr>
        <w:t>MUJI</w:t>
      </w:r>
      <w:proofErr w:type="spellEnd"/>
      <w:r w:rsidRPr="00160E44">
        <w:rPr>
          <w:b/>
        </w:rPr>
        <w:t xml:space="preserve"> 1st to </w:t>
      </w:r>
      <w:proofErr w:type="spellStart"/>
      <w:r w:rsidRPr="00160E44">
        <w:rPr>
          <w:b/>
        </w:rPr>
        <w:t>MUJI</w:t>
      </w:r>
      <w:proofErr w:type="spellEnd"/>
      <w:r w:rsidRPr="00160E44">
        <w:rPr>
          <w:b/>
        </w:rPr>
        <w:t xml:space="preserve"> 2d Correlation Table</w:t>
      </w:r>
    </w:p>
    <w:p w:rsidR="00160E44" w:rsidRDefault="00160E44" w:rsidP="00160E44">
      <w:r>
        <w:t xml:space="preserve">The </w:t>
      </w:r>
      <w:proofErr w:type="spellStart"/>
      <w:r>
        <w:t>MUJI</w:t>
      </w:r>
      <w:proofErr w:type="spellEnd"/>
      <w:r>
        <w:t xml:space="preserve"> 2d instructions are intended to entirely replace </w:t>
      </w:r>
      <w:proofErr w:type="spellStart"/>
      <w:r>
        <w:t>MUJI</w:t>
      </w:r>
      <w:proofErr w:type="spellEnd"/>
      <w:r>
        <w:t xml:space="preserve"> 1st; therefore, </w:t>
      </w:r>
      <w:proofErr w:type="spellStart"/>
      <w:r>
        <w:t>MUJI</w:t>
      </w:r>
      <w:proofErr w:type="spellEnd"/>
      <w:r>
        <w:t xml:space="preserve"> 1st should not be used. </w:t>
      </w:r>
      <w:proofErr w:type="spellStart"/>
      <w:r>
        <w:t>JIFU</w:t>
      </w:r>
      <w:proofErr w:type="spellEnd"/>
      <w:r>
        <w:t xml:space="preserve"> (1957) should also not be used. Any instruction that appeared in </w:t>
      </w:r>
      <w:proofErr w:type="spellStart"/>
      <w:r>
        <w:t>MUJI</w:t>
      </w:r>
      <w:proofErr w:type="spellEnd"/>
      <w:r>
        <w:t xml:space="preserve"> 1st but is not in </w:t>
      </w:r>
      <w:proofErr w:type="spellStart"/>
      <w:r>
        <w:t>MUJI</w:t>
      </w:r>
      <w:proofErr w:type="spellEnd"/>
      <w:r>
        <w:t xml:space="preserve"> 2d was intentionally omitted by the </w:t>
      </w:r>
      <w:proofErr w:type="spellStart"/>
      <w:r>
        <w:t>MUJI</w:t>
      </w:r>
      <w:proofErr w:type="spellEnd"/>
      <w:r>
        <w:t xml:space="preserve"> Committee.</w:t>
      </w:r>
    </w:p>
    <w:tbl>
      <w:tblPr>
        <w:tblStyle w:val="TableGrid"/>
        <w:tblW w:w="9828" w:type="dxa"/>
        <w:tblLook w:val="04A0"/>
      </w:tblPr>
      <w:tblGrid>
        <w:gridCol w:w="1188"/>
        <w:gridCol w:w="4176"/>
        <w:gridCol w:w="4464"/>
      </w:tblGrid>
      <w:tr w:rsidR="00160E44" w:rsidRPr="00160E44" w:rsidTr="00160E44">
        <w:trPr>
          <w:tblHeader/>
        </w:trPr>
        <w:tc>
          <w:tcPr>
            <w:tcW w:w="1188" w:type="dxa"/>
            <w:vAlign w:val="bottom"/>
          </w:tcPr>
          <w:p w:rsidR="00160E44" w:rsidRPr="00160E44" w:rsidRDefault="00160E44" w:rsidP="00160E44">
            <w:pPr>
              <w:spacing w:before="0" w:after="0"/>
              <w:jc w:val="left"/>
              <w:rPr>
                <w:b/>
              </w:rPr>
            </w:pPr>
            <w:proofErr w:type="spellStart"/>
            <w:r w:rsidRPr="00160E44">
              <w:rPr>
                <w:b/>
              </w:rPr>
              <w:t>MUJI</w:t>
            </w:r>
            <w:proofErr w:type="spellEnd"/>
            <w:r w:rsidRPr="00160E44">
              <w:rPr>
                <w:b/>
              </w:rPr>
              <w:t xml:space="preserve"> 1st</w:t>
            </w:r>
          </w:p>
        </w:tc>
        <w:tc>
          <w:tcPr>
            <w:tcW w:w="4176" w:type="dxa"/>
            <w:vAlign w:val="bottom"/>
          </w:tcPr>
          <w:p w:rsidR="00160E44" w:rsidRPr="00160E44" w:rsidRDefault="00160E44" w:rsidP="00160E44">
            <w:pPr>
              <w:spacing w:before="0" w:after="0"/>
              <w:jc w:val="left"/>
              <w:rPr>
                <w:b/>
              </w:rPr>
            </w:pPr>
            <w:r w:rsidRPr="00160E44">
              <w:rPr>
                <w:b/>
              </w:rPr>
              <w:t>Title</w:t>
            </w:r>
          </w:p>
        </w:tc>
        <w:tc>
          <w:tcPr>
            <w:tcW w:w="4464" w:type="dxa"/>
            <w:vAlign w:val="bottom"/>
          </w:tcPr>
          <w:p w:rsidR="00160E44" w:rsidRPr="00160E44" w:rsidRDefault="00160E44" w:rsidP="00160E44">
            <w:pPr>
              <w:spacing w:before="0" w:after="0"/>
              <w:jc w:val="left"/>
              <w:rPr>
                <w:b/>
              </w:rPr>
            </w:pPr>
            <w:proofErr w:type="spellStart"/>
            <w:r w:rsidRPr="00160E44">
              <w:rPr>
                <w:b/>
              </w:rPr>
              <w:t>MUJI</w:t>
            </w:r>
            <w:proofErr w:type="spellEnd"/>
            <w:r w:rsidRPr="00160E44">
              <w:rPr>
                <w:b/>
              </w:rPr>
              <w:t xml:space="preserve"> 2d</w:t>
            </w:r>
          </w:p>
        </w:tc>
      </w:tr>
      <w:tr w:rsidR="00160E44" w:rsidRPr="00160E44" w:rsidTr="00160E44">
        <w:tc>
          <w:tcPr>
            <w:tcW w:w="1188" w:type="dxa"/>
            <w:vAlign w:val="bottom"/>
          </w:tcPr>
          <w:p w:rsidR="00160E44" w:rsidRPr="00160E44" w:rsidRDefault="00160E44" w:rsidP="00160E44">
            <w:pPr>
              <w:spacing w:before="0" w:after="0"/>
              <w:jc w:val="left"/>
            </w:pPr>
            <w:r w:rsidRPr="00160E44">
              <w:t>6.1</w:t>
            </w:r>
          </w:p>
        </w:tc>
        <w:tc>
          <w:tcPr>
            <w:tcW w:w="4176" w:type="dxa"/>
            <w:vAlign w:val="bottom"/>
          </w:tcPr>
          <w:p w:rsidR="00160E44" w:rsidRPr="00160E44" w:rsidRDefault="00160E44" w:rsidP="00160E44">
            <w:pPr>
              <w:spacing w:before="0" w:after="0"/>
              <w:jc w:val="left"/>
            </w:pPr>
            <w:r w:rsidRPr="00160E44">
              <w:t>Duty to Comply With Standard of Care</w:t>
            </w:r>
          </w:p>
        </w:tc>
        <w:tc>
          <w:tcPr>
            <w:tcW w:w="4464" w:type="dxa"/>
            <w:vAlign w:val="bottom"/>
          </w:tcPr>
          <w:p w:rsidR="00160E44" w:rsidRPr="00160E44" w:rsidRDefault="00160E44" w:rsidP="00160E44">
            <w:pPr>
              <w:spacing w:before="0" w:after="0"/>
              <w:jc w:val="left"/>
            </w:pPr>
            <w:r w:rsidRPr="00160E44">
              <w:t>CV301B</w:t>
            </w:r>
            <w:r>
              <w:t>.</w:t>
            </w:r>
          </w:p>
        </w:tc>
      </w:tr>
      <w:tr w:rsidR="00160E44" w:rsidRPr="00160E44" w:rsidTr="00160E44">
        <w:tc>
          <w:tcPr>
            <w:tcW w:w="1188" w:type="dxa"/>
            <w:vAlign w:val="bottom"/>
          </w:tcPr>
          <w:p w:rsidR="00160E44" w:rsidRPr="00160E44" w:rsidRDefault="00160E44" w:rsidP="00160E44">
            <w:pPr>
              <w:spacing w:before="0" w:after="0"/>
              <w:jc w:val="left"/>
            </w:pPr>
            <w:r w:rsidRPr="00160E44">
              <w:t>6.2</w:t>
            </w:r>
          </w:p>
        </w:tc>
        <w:tc>
          <w:tcPr>
            <w:tcW w:w="4176" w:type="dxa"/>
            <w:vAlign w:val="bottom"/>
          </w:tcPr>
          <w:p w:rsidR="00160E44" w:rsidRPr="00160E44" w:rsidRDefault="00160E44" w:rsidP="00160E44">
            <w:pPr>
              <w:spacing w:before="0" w:after="0"/>
              <w:jc w:val="left"/>
            </w:pPr>
            <w:r w:rsidRPr="00160E44">
              <w:t>Expert Testimony Required</w:t>
            </w:r>
          </w:p>
        </w:tc>
        <w:tc>
          <w:tcPr>
            <w:tcW w:w="4464" w:type="dxa"/>
            <w:vAlign w:val="bottom"/>
          </w:tcPr>
          <w:p w:rsidR="00160E44" w:rsidRPr="00160E44" w:rsidRDefault="00160E44" w:rsidP="00160E44">
            <w:pPr>
              <w:spacing w:before="0" w:after="0"/>
              <w:jc w:val="left"/>
            </w:pPr>
            <w:r w:rsidRPr="00160E44">
              <w:t>CV326</w:t>
            </w:r>
            <w:r>
              <w:t>.</w:t>
            </w:r>
          </w:p>
        </w:tc>
      </w:tr>
      <w:tr w:rsidR="00160E44" w:rsidRPr="00160E44" w:rsidTr="00160E44">
        <w:tc>
          <w:tcPr>
            <w:tcW w:w="1188" w:type="dxa"/>
            <w:vAlign w:val="bottom"/>
          </w:tcPr>
          <w:p w:rsidR="00160E44" w:rsidRPr="00160E44" w:rsidRDefault="00160E44" w:rsidP="00160E44">
            <w:pPr>
              <w:spacing w:before="0" w:after="0"/>
              <w:jc w:val="left"/>
            </w:pPr>
            <w:r w:rsidRPr="00160E44">
              <w:t>6.3</w:t>
            </w:r>
          </w:p>
        </w:tc>
        <w:tc>
          <w:tcPr>
            <w:tcW w:w="4176" w:type="dxa"/>
            <w:vAlign w:val="bottom"/>
          </w:tcPr>
          <w:p w:rsidR="00160E44" w:rsidRPr="00160E44" w:rsidRDefault="00160E44" w:rsidP="00160E44">
            <w:pPr>
              <w:spacing w:before="0" w:after="0"/>
              <w:jc w:val="left"/>
            </w:pPr>
            <w:r w:rsidRPr="00160E44">
              <w:t>Duty to Refer</w:t>
            </w:r>
          </w:p>
        </w:tc>
        <w:tc>
          <w:tcPr>
            <w:tcW w:w="4464" w:type="dxa"/>
            <w:vAlign w:val="bottom"/>
          </w:tcPr>
          <w:p w:rsidR="00160E44" w:rsidRPr="00160E44" w:rsidRDefault="00160E44" w:rsidP="00160E44">
            <w:pPr>
              <w:spacing w:before="0" w:after="0"/>
              <w:jc w:val="left"/>
            </w:pPr>
            <w:r w:rsidRPr="00160E44">
              <w:t>CV305</w:t>
            </w:r>
            <w:r>
              <w:t>.</w:t>
            </w:r>
          </w:p>
        </w:tc>
      </w:tr>
      <w:tr w:rsidR="00160E44" w:rsidRPr="00160E44" w:rsidTr="00160E44">
        <w:tc>
          <w:tcPr>
            <w:tcW w:w="1188" w:type="dxa"/>
            <w:vAlign w:val="bottom"/>
          </w:tcPr>
          <w:p w:rsidR="00160E44" w:rsidRPr="00160E44" w:rsidRDefault="00160E44" w:rsidP="00160E44">
            <w:pPr>
              <w:spacing w:before="0" w:after="0"/>
              <w:jc w:val="left"/>
            </w:pPr>
            <w:r w:rsidRPr="00160E44">
              <w:t>6.4</w:t>
            </w:r>
          </w:p>
        </w:tc>
        <w:tc>
          <w:tcPr>
            <w:tcW w:w="4176" w:type="dxa"/>
            <w:vAlign w:val="bottom"/>
          </w:tcPr>
          <w:p w:rsidR="00160E44" w:rsidRPr="00160E44" w:rsidRDefault="00160E44" w:rsidP="00160E44">
            <w:pPr>
              <w:spacing w:before="0" w:after="0"/>
              <w:jc w:val="left"/>
            </w:pPr>
            <w:r w:rsidRPr="00160E44">
              <w:t>Duty to Disclose Material Medical Information</w:t>
            </w:r>
          </w:p>
        </w:tc>
        <w:tc>
          <w:tcPr>
            <w:tcW w:w="4464" w:type="dxa"/>
            <w:vAlign w:val="bottom"/>
          </w:tcPr>
          <w:p w:rsidR="00160E44" w:rsidRPr="00160E44" w:rsidRDefault="00160E44" w:rsidP="00160E44">
            <w:pPr>
              <w:spacing w:before="0" w:after="0"/>
              <w:jc w:val="left"/>
            </w:pPr>
            <w:r w:rsidRPr="00160E44">
              <w:t>CV304</w:t>
            </w:r>
            <w:r>
              <w:t>.</w:t>
            </w:r>
          </w:p>
        </w:tc>
      </w:tr>
      <w:tr w:rsidR="00160E44" w:rsidRPr="00160E44" w:rsidTr="00160E44">
        <w:tc>
          <w:tcPr>
            <w:tcW w:w="1188" w:type="dxa"/>
            <w:vAlign w:val="bottom"/>
          </w:tcPr>
          <w:p w:rsidR="00160E44" w:rsidRPr="00160E44" w:rsidRDefault="00160E44" w:rsidP="00160E44">
            <w:pPr>
              <w:spacing w:before="0" w:after="0"/>
              <w:jc w:val="left"/>
            </w:pPr>
            <w:r w:rsidRPr="00160E44">
              <w:t>6.5</w:t>
            </w:r>
          </w:p>
        </w:tc>
        <w:tc>
          <w:tcPr>
            <w:tcW w:w="4176" w:type="dxa"/>
            <w:vAlign w:val="bottom"/>
          </w:tcPr>
          <w:p w:rsidR="00160E44" w:rsidRPr="00160E44" w:rsidRDefault="00160E44" w:rsidP="00160E44">
            <w:pPr>
              <w:spacing w:before="0" w:after="0"/>
              <w:jc w:val="left"/>
            </w:pPr>
            <w:r w:rsidRPr="00160E44">
              <w:t>Duty to Obtain Informed Consent</w:t>
            </w:r>
          </w:p>
        </w:tc>
        <w:tc>
          <w:tcPr>
            <w:tcW w:w="4464" w:type="dxa"/>
            <w:vAlign w:val="bottom"/>
          </w:tcPr>
          <w:p w:rsidR="00160E44" w:rsidRPr="00160E44" w:rsidRDefault="00160E44" w:rsidP="00160E44">
            <w:pPr>
              <w:spacing w:before="0" w:after="0"/>
              <w:jc w:val="left"/>
            </w:pPr>
            <w:r w:rsidRPr="00160E44">
              <w:t>CV310</w:t>
            </w:r>
            <w:r>
              <w:t>.</w:t>
            </w:r>
          </w:p>
        </w:tc>
      </w:tr>
      <w:tr w:rsidR="00160E44" w:rsidRPr="00160E44" w:rsidTr="00160E44">
        <w:tc>
          <w:tcPr>
            <w:tcW w:w="1188" w:type="dxa"/>
            <w:vAlign w:val="bottom"/>
          </w:tcPr>
          <w:p w:rsidR="00160E44" w:rsidRPr="00160E44" w:rsidRDefault="00160E44" w:rsidP="00160E44">
            <w:pPr>
              <w:spacing w:before="0" w:after="0"/>
              <w:jc w:val="left"/>
            </w:pPr>
            <w:r w:rsidRPr="00160E44">
              <w:t>6.6</w:t>
            </w:r>
          </w:p>
        </w:tc>
        <w:tc>
          <w:tcPr>
            <w:tcW w:w="4176" w:type="dxa"/>
            <w:vAlign w:val="bottom"/>
          </w:tcPr>
          <w:p w:rsidR="00160E44" w:rsidRPr="00160E44" w:rsidRDefault="00160E44" w:rsidP="00160E44">
            <w:pPr>
              <w:spacing w:before="0" w:after="0"/>
              <w:jc w:val="left"/>
            </w:pPr>
            <w:r w:rsidRPr="00160E44">
              <w:t>Substantial and Significant Risk Defined</w:t>
            </w:r>
          </w:p>
        </w:tc>
        <w:tc>
          <w:tcPr>
            <w:tcW w:w="4464" w:type="dxa"/>
            <w:vAlign w:val="bottom"/>
          </w:tcPr>
          <w:p w:rsidR="00160E44" w:rsidRPr="00160E44" w:rsidRDefault="00160E44" w:rsidP="00160E44">
            <w:pPr>
              <w:spacing w:before="0" w:after="0"/>
              <w:jc w:val="left"/>
            </w:pPr>
            <w:r w:rsidRPr="00160E44">
              <w:t>CV312</w:t>
            </w:r>
            <w:r>
              <w:t>.</w:t>
            </w:r>
          </w:p>
        </w:tc>
      </w:tr>
      <w:tr w:rsidR="00160E44" w:rsidRPr="00160E44" w:rsidTr="00160E44">
        <w:tc>
          <w:tcPr>
            <w:tcW w:w="1188" w:type="dxa"/>
            <w:vAlign w:val="bottom"/>
          </w:tcPr>
          <w:p w:rsidR="00160E44" w:rsidRPr="00160E44" w:rsidRDefault="00160E44" w:rsidP="00160E44">
            <w:pPr>
              <w:spacing w:before="0" w:after="0"/>
              <w:jc w:val="left"/>
            </w:pPr>
            <w:r w:rsidRPr="00160E44">
              <w:t>6.7</w:t>
            </w:r>
          </w:p>
        </w:tc>
        <w:tc>
          <w:tcPr>
            <w:tcW w:w="4176" w:type="dxa"/>
            <w:vAlign w:val="bottom"/>
          </w:tcPr>
          <w:p w:rsidR="00160E44" w:rsidRPr="00160E44" w:rsidRDefault="00160E44" w:rsidP="00160E44">
            <w:pPr>
              <w:spacing w:before="0" w:after="0"/>
              <w:jc w:val="left"/>
            </w:pPr>
            <w:r w:rsidRPr="00160E44">
              <w:t>Elements of Informed Consent</w:t>
            </w:r>
          </w:p>
        </w:tc>
        <w:tc>
          <w:tcPr>
            <w:tcW w:w="4464" w:type="dxa"/>
            <w:vAlign w:val="bottom"/>
          </w:tcPr>
          <w:p w:rsidR="00160E44" w:rsidRPr="00160E44" w:rsidRDefault="00160E44" w:rsidP="00160E44">
            <w:pPr>
              <w:spacing w:before="0" w:after="0"/>
              <w:jc w:val="left"/>
            </w:pPr>
            <w:r w:rsidRPr="00160E44">
              <w:t>CV311</w:t>
            </w:r>
            <w:r>
              <w:t>.</w:t>
            </w:r>
          </w:p>
        </w:tc>
      </w:tr>
      <w:tr w:rsidR="00160E44" w:rsidRPr="00160E44" w:rsidTr="00160E44">
        <w:tc>
          <w:tcPr>
            <w:tcW w:w="1188" w:type="dxa"/>
            <w:vAlign w:val="bottom"/>
          </w:tcPr>
          <w:p w:rsidR="00160E44" w:rsidRPr="00160E44" w:rsidRDefault="00160E44" w:rsidP="00160E44">
            <w:pPr>
              <w:spacing w:before="0" w:after="0"/>
              <w:jc w:val="left"/>
            </w:pPr>
            <w:r w:rsidRPr="00160E44">
              <w:t>6.8</w:t>
            </w:r>
          </w:p>
        </w:tc>
        <w:tc>
          <w:tcPr>
            <w:tcW w:w="4176" w:type="dxa"/>
            <w:vAlign w:val="bottom"/>
          </w:tcPr>
          <w:p w:rsidR="00160E44" w:rsidRPr="00160E44" w:rsidRDefault="00160E44" w:rsidP="00160E44">
            <w:pPr>
              <w:spacing w:before="0" w:after="0"/>
              <w:jc w:val="left"/>
            </w:pPr>
            <w:r w:rsidRPr="00160E44">
              <w:t>Standard for Judging Patient’s Consent</w:t>
            </w:r>
          </w:p>
        </w:tc>
        <w:tc>
          <w:tcPr>
            <w:tcW w:w="4464" w:type="dxa"/>
            <w:vAlign w:val="bottom"/>
          </w:tcPr>
          <w:p w:rsidR="00160E44" w:rsidRPr="00160E44" w:rsidRDefault="00160E44" w:rsidP="00160E44">
            <w:pPr>
              <w:spacing w:before="0" w:after="0"/>
              <w:jc w:val="left"/>
            </w:pPr>
            <w:r w:rsidRPr="00160E44">
              <w:t>CV313</w:t>
            </w:r>
            <w:r>
              <w:t>.</w:t>
            </w:r>
          </w:p>
        </w:tc>
      </w:tr>
      <w:tr w:rsidR="00160E44" w:rsidRPr="00160E44" w:rsidTr="00160E44">
        <w:tc>
          <w:tcPr>
            <w:tcW w:w="1188" w:type="dxa"/>
            <w:vAlign w:val="bottom"/>
          </w:tcPr>
          <w:p w:rsidR="00160E44" w:rsidRPr="00160E44" w:rsidRDefault="00160E44" w:rsidP="00160E44">
            <w:pPr>
              <w:spacing w:before="0" w:after="0"/>
              <w:jc w:val="left"/>
            </w:pPr>
            <w:r w:rsidRPr="00160E44">
              <w:t>6.9</w:t>
            </w:r>
          </w:p>
        </w:tc>
        <w:tc>
          <w:tcPr>
            <w:tcW w:w="4176" w:type="dxa"/>
            <w:vAlign w:val="bottom"/>
          </w:tcPr>
          <w:p w:rsidR="00160E44" w:rsidRPr="00160E44" w:rsidRDefault="00160E44" w:rsidP="00160E44">
            <w:pPr>
              <w:spacing w:before="0" w:after="0"/>
              <w:jc w:val="left"/>
            </w:pPr>
            <w:r w:rsidRPr="00160E44">
              <w:t>Persons Authorized to Give Consent</w:t>
            </w:r>
          </w:p>
        </w:tc>
        <w:tc>
          <w:tcPr>
            <w:tcW w:w="4464" w:type="dxa"/>
            <w:vAlign w:val="bottom"/>
          </w:tcPr>
          <w:p w:rsidR="00160E44" w:rsidRPr="00160E44" w:rsidRDefault="00160E44" w:rsidP="00160E44">
            <w:pPr>
              <w:spacing w:before="0" w:after="0"/>
              <w:jc w:val="left"/>
            </w:pPr>
            <w:r w:rsidRPr="00160E44">
              <w:t>Deleted</w:t>
            </w:r>
            <w:r>
              <w:t>.</w:t>
            </w:r>
            <w:r w:rsidRPr="00160E44">
              <w:t xml:space="preserve"> </w:t>
            </w:r>
            <w:r>
              <w:t>I</w:t>
            </w:r>
            <w:r w:rsidRPr="00160E44">
              <w:t>dentifies the persons statutorily empowered to give actual consent to treatment, and the committee determined that this would rarely be a jury issue.</w:t>
            </w:r>
          </w:p>
        </w:tc>
      </w:tr>
      <w:tr w:rsidR="00160E44" w:rsidRPr="00160E44" w:rsidTr="00160E44">
        <w:tc>
          <w:tcPr>
            <w:tcW w:w="1188" w:type="dxa"/>
            <w:vAlign w:val="bottom"/>
          </w:tcPr>
          <w:p w:rsidR="00160E44" w:rsidRPr="00160E44" w:rsidRDefault="00160E44" w:rsidP="00160E44">
            <w:pPr>
              <w:spacing w:before="0" w:after="0"/>
              <w:jc w:val="left"/>
            </w:pPr>
            <w:r w:rsidRPr="00160E44">
              <w:t>6.10</w:t>
            </w:r>
          </w:p>
        </w:tc>
        <w:tc>
          <w:tcPr>
            <w:tcW w:w="4176" w:type="dxa"/>
            <w:vAlign w:val="bottom"/>
          </w:tcPr>
          <w:p w:rsidR="00160E44" w:rsidRPr="00160E44" w:rsidRDefault="00160E44" w:rsidP="00160E44">
            <w:pPr>
              <w:spacing w:before="0" w:after="0"/>
              <w:jc w:val="left"/>
            </w:pPr>
            <w:r w:rsidRPr="00160E44">
              <w:t>Oral Consent</w:t>
            </w:r>
          </w:p>
        </w:tc>
        <w:tc>
          <w:tcPr>
            <w:tcW w:w="4464" w:type="dxa"/>
            <w:vAlign w:val="bottom"/>
          </w:tcPr>
          <w:p w:rsidR="00160E44" w:rsidRPr="00160E44" w:rsidRDefault="00160E44" w:rsidP="00160E44">
            <w:pPr>
              <w:spacing w:before="0" w:after="0"/>
              <w:jc w:val="left"/>
            </w:pPr>
            <w:r w:rsidRPr="00160E44">
              <w:t>CV314</w:t>
            </w:r>
            <w:r>
              <w:t>.</w:t>
            </w:r>
          </w:p>
        </w:tc>
      </w:tr>
      <w:tr w:rsidR="00160E44" w:rsidRPr="00160E44" w:rsidTr="00160E44">
        <w:tc>
          <w:tcPr>
            <w:tcW w:w="1188" w:type="dxa"/>
            <w:vAlign w:val="bottom"/>
          </w:tcPr>
          <w:p w:rsidR="00160E44" w:rsidRPr="00160E44" w:rsidRDefault="00160E44" w:rsidP="00160E44">
            <w:pPr>
              <w:spacing w:before="0" w:after="0"/>
              <w:jc w:val="left"/>
            </w:pPr>
            <w:r w:rsidRPr="00160E44">
              <w:t>6.11</w:t>
            </w:r>
          </w:p>
        </w:tc>
        <w:tc>
          <w:tcPr>
            <w:tcW w:w="4176" w:type="dxa"/>
            <w:vAlign w:val="bottom"/>
          </w:tcPr>
          <w:p w:rsidR="00160E44" w:rsidRPr="00160E44" w:rsidRDefault="00160E44" w:rsidP="00160E44">
            <w:pPr>
              <w:spacing w:before="0" w:after="0"/>
              <w:jc w:val="left"/>
            </w:pPr>
            <w:r w:rsidRPr="00160E44">
              <w:t>Implied Consent</w:t>
            </w:r>
          </w:p>
        </w:tc>
        <w:tc>
          <w:tcPr>
            <w:tcW w:w="4464" w:type="dxa"/>
            <w:vAlign w:val="bottom"/>
          </w:tcPr>
          <w:p w:rsidR="00160E44" w:rsidRPr="00160E44" w:rsidRDefault="00160E44" w:rsidP="00160E44">
            <w:pPr>
              <w:spacing w:before="0" w:after="0"/>
              <w:jc w:val="left"/>
            </w:pPr>
            <w:r w:rsidRPr="00160E44">
              <w:t>CV315</w:t>
            </w:r>
            <w:r>
              <w:t>.</w:t>
            </w:r>
          </w:p>
        </w:tc>
      </w:tr>
      <w:tr w:rsidR="00160E44" w:rsidRPr="00160E44" w:rsidTr="00160E44">
        <w:tc>
          <w:tcPr>
            <w:tcW w:w="1188" w:type="dxa"/>
            <w:vAlign w:val="bottom"/>
          </w:tcPr>
          <w:p w:rsidR="00160E44" w:rsidRPr="00160E44" w:rsidRDefault="00160E44" w:rsidP="00160E44">
            <w:pPr>
              <w:spacing w:before="0" w:after="0"/>
              <w:jc w:val="left"/>
            </w:pPr>
            <w:r w:rsidRPr="00160E44">
              <w:t>6.12</w:t>
            </w:r>
          </w:p>
        </w:tc>
        <w:tc>
          <w:tcPr>
            <w:tcW w:w="4176" w:type="dxa"/>
            <w:vAlign w:val="bottom"/>
          </w:tcPr>
          <w:p w:rsidR="00160E44" w:rsidRPr="00160E44" w:rsidRDefault="00160E44" w:rsidP="00160E44">
            <w:pPr>
              <w:spacing w:before="0" w:after="0"/>
              <w:jc w:val="left"/>
            </w:pPr>
            <w:r w:rsidRPr="00160E44">
              <w:t>“Minor Risk” Defense</w:t>
            </w:r>
          </w:p>
        </w:tc>
        <w:tc>
          <w:tcPr>
            <w:tcW w:w="4464" w:type="dxa"/>
            <w:vAlign w:val="bottom"/>
          </w:tcPr>
          <w:p w:rsidR="00160E44" w:rsidRPr="00160E44" w:rsidRDefault="00160E44" w:rsidP="00160E44">
            <w:pPr>
              <w:spacing w:before="0" w:after="0"/>
              <w:jc w:val="left"/>
            </w:pPr>
            <w:r w:rsidRPr="00160E44">
              <w:t>Deleted as simply restating the need to prove that the risk was “substantial and significant.” Use CV 312 and 311.</w:t>
            </w:r>
          </w:p>
        </w:tc>
      </w:tr>
      <w:tr w:rsidR="00160E44" w:rsidRPr="00160E44" w:rsidTr="00160E44">
        <w:tc>
          <w:tcPr>
            <w:tcW w:w="1188" w:type="dxa"/>
            <w:vAlign w:val="bottom"/>
          </w:tcPr>
          <w:p w:rsidR="00160E44" w:rsidRPr="00160E44" w:rsidRDefault="00160E44" w:rsidP="00160E44">
            <w:pPr>
              <w:spacing w:before="0" w:after="0"/>
              <w:jc w:val="left"/>
            </w:pPr>
            <w:r w:rsidRPr="00160E44">
              <w:t>6.13</w:t>
            </w:r>
          </w:p>
        </w:tc>
        <w:tc>
          <w:tcPr>
            <w:tcW w:w="4176" w:type="dxa"/>
            <w:vAlign w:val="bottom"/>
          </w:tcPr>
          <w:p w:rsidR="00160E44" w:rsidRPr="00160E44" w:rsidRDefault="00160E44" w:rsidP="00160E44">
            <w:pPr>
              <w:spacing w:before="0" w:after="0"/>
              <w:jc w:val="left"/>
            </w:pPr>
            <w:r w:rsidRPr="00160E44">
              <w:t>“Common Knowledge” Defense</w:t>
            </w:r>
          </w:p>
        </w:tc>
        <w:tc>
          <w:tcPr>
            <w:tcW w:w="4464" w:type="dxa"/>
            <w:vAlign w:val="bottom"/>
          </w:tcPr>
          <w:p w:rsidR="00160E44" w:rsidRPr="00160E44" w:rsidRDefault="00160E44" w:rsidP="00160E44">
            <w:pPr>
              <w:spacing w:before="0" w:after="0"/>
              <w:jc w:val="left"/>
            </w:pPr>
            <w:r w:rsidRPr="00160E44">
              <w:t>CV316</w:t>
            </w:r>
            <w:r>
              <w:t>.</w:t>
            </w:r>
          </w:p>
        </w:tc>
      </w:tr>
      <w:tr w:rsidR="00160E44" w:rsidRPr="00160E44" w:rsidTr="00160E44">
        <w:tc>
          <w:tcPr>
            <w:tcW w:w="1188" w:type="dxa"/>
            <w:vAlign w:val="bottom"/>
          </w:tcPr>
          <w:p w:rsidR="00160E44" w:rsidRPr="00160E44" w:rsidRDefault="00160E44" w:rsidP="00160E44">
            <w:pPr>
              <w:spacing w:before="0" w:after="0"/>
              <w:jc w:val="left"/>
            </w:pPr>
            <w:r w:rsidRPr="00160E44">
              <w:t>6.14</w:t>
            </w:r>
          </w:p>
        </w:tc>
        <w:tc>
          <w:tcPr>
            <w:tcW w:w="4176" w:type="dxa"/>
            <w:vAlign w:val="bottom"/>
          </w:tcPr>
          <w:p w:rsidR="00160E44" w:rsidRPr="00160E44" w:rsidRDefault="00160E44" w:rsidP="00160E44">
            <w:pPr>
              <w:spacing w:before="0" w:after="0"/>
              <w:jc w:val="left"/>
            </w:pPr>
            <w:r w:rsidRPr="00160E44">
              <w:t>“Oral Consent” Defense</w:t>
            </w:r>
          </w:p>
        </w:tc>
        <w:tc>
          <w:tcPr>
            <w:tcW w:w="4464" w:type="dxa"/>
            <w:vAlign w:val="bottom"/>
          </w:tcPr>
          <w:p w:rsidR="00160E44" w:rsidRPr="00160E44" w:rsidRDefault="00160E44" w:rsidP="00160E44">
            <w:pPr>
              <w:spacing w:before="0" w:after="0"/>
              <w:jc w:val="left"/>
            </w:pPr>
            <w:r w:rsidRPr="00160E44">
              <w:t>CV317</w:t>
            </w:r>
            <w:r>
              <w:t>.</w:t>
            </w:r>
          </w:p>
        </w:tc>
      </w:tr>
      <w:tr w:rsidR="00160E44" w:rsidRPr="00160E44" w:rsidTr="00160E44">
        <w:tc>
          <w:tcPr>
            <w:tcW w:w="1188" w:type="dxa"/>
            <w:vAlign w:val="bottom"/>
          </w:tcPr>
          <w:p w:rsidR="00160E44" w:rsidRPr="00160E44" w:rsidRDefault="00160E44" w:rsidP="00160E44">
            <w:pPr>
              <w:spacing w:before="0" w:after="0"/>
              <w:jc w:val="left"/>
            </w:pPr>
            <w:r w:rsidRPr="00160E44">
              <w:t>6.15</w:t>
            </w:r>
          </w:p>
        </w:tc>
        <w:tc>
          <w:tcPr>
            <w:tcW w:w="4176" w:type="dxa"/>
            <w:vAlign w:val="bottom"/>
          </w:tcPr>
          <w:p w:rsidR="00160E44" w:rsidRPr="00160E44" w:rsidRDefault="00160E44" w:rsidP="00160E44">
            <w:pPr>
              <w:spacing w:before="0" w:after="0"/>
              <w:jc w:val="left"/>
            </w:pPr>
            <w:r w:rsidRPr="00160E44">
              <w:t>“Reasonable Disclosure” Defense</w:t>
            </w:r>
          </w:p>
        </w:tc>
        <w:tc>
          <w:tcPr>
            <w:tcW w:w="4464" w:type="dxa"/>
            <w:vAlign w:val="bottom"/>
          </w:tcPr>
          <w:p w:rsidR="00160E44" w:rsidRPr="00160E44" w:rsidRDefault="00160E44" w:rsidP="00160E44">
            <w:pPr>
              <w:spacing w:before="0" w:after="0"/>
              <w:jc w:val="left"/>
            </w:pPr>
            <w:r w:rsidRPr="00160E44">
              <w:t>CV318</w:t>
            </w:r>
            <w:r>
              <w:t>.</w:t>
            </w:r>
          </w:p>
        </w:tc>
      </w:tr>
      <w:tr w:rsidR="00160E44" w:rsidRPr="00160E44" w:rsidTr="00160E44">
        <w:tc>
          <w:tcPr>
            <w:tcW w:w="1188" w:type="dxa"/>
            <w:vAlign w:val="bottom"/>
          </w:tcPr>
          <w:p w:rsidR="00160E44" w:rsidRPr="00160E44" w:rsidRDefault="00160E44" w:rsidP="00160E44">
            <w:pPr>
              <w:spacing w:before="0" w:after="0"/>
              <w:jc w:val="left"/>
            </w:pPr>
            <w:r w:rsidRPr="00160E44">
              <w:t>6.16</w:t>
            </w:r>
          </w:p>
        </w:tc>
        <w:tc>
          <w:tcPr>
            <w:tcW w:w="4176" w:type="dxa"/>
            <w:vAlign w:val="bottom"/>
          </w:tcPr>
          <w:p w:rsidR="00160E44" w:rsidRPr="00160E44" w:rsidRDefault="00160E44" w:rsidP="00160E44">
            <w:pPr>
              <w:spacing w:before="0" w:after="0"/>
              <w:jc w:val="left"/>
            </w:pPr>
            <w:r w:rsidRPr="00160E44">
              <w:t>“Written Consent” Defense</w:t>
            </w:r>
          </w:p>
        </w:tc>
        <w:tc>
          <w:tcPr>
            <w:tcW w:w="4464" w:type="dxa"/>
            <w:vAlign w:val="bottom"/>
          </w:tcPr>
          <w:p w:rsidR="00160E44" w:rsidRPr="00160E44" w:rsidRDefault="00160E44" w:rsidP="00160E44">
            <w:pPr>
              <w:spacing w:before="0" w:after="0"/>
              <w:jc w:val="left"/>
            </w:pPr>
            <w:r w:rsidRPr="00160E44">
              <w:t>CV319</w:t>
            </w:r>
            <w:r>
              <w:t>.</w:t>
            </w:r>
          </w:p>
        </w:tc>
      </w:tr>
      <w:tr w:rsidR="00160E44" w:rsidRPr="00160E44" w:rsidTr="00160E44">
        <w:tc>
          <w:tcPr>
            <w:tcW w:w="1188" w:type="dxa"/>
            <w:vAlign w:val="bottom"/>
          </w:tcPr>
          <w:p w:rsidR="00160E44" w:rsidRPr="00160E44" w:rsidRDefault="00160E44" w:rsidP="00160E44">
            <w:pPr>
              <w:spacing w:before="0" w:after="0"/>
              <w:jc w:val="left"/>
            </w:pPr>
            <w:r w:rsidRPr="00160E44">
              <w:t>6.17</w:t>
            </w:r>
          </w:p>
        </w:tc>
        <w:tc>
          <w:tcPr>
            <w:tcW w:w="4176" w:type="dxa"/>
            <w:vAlign w:val="bottom"/>
          </w:tcPr>
          <w:p w:rsidR="00160E44" w:rsidRPr="00160E44" w:rsidRDefault="00160E44" w:rsidP="00160E44">
            <w:pPr>
              <w:spacing w:before="0" w:after="0"/>
              <w:jc w:val="left"/>
            </w:pPr>
            <w:r w:rsidRPr="00160E44">
              <w:t>Duty to Warn of Injury Avoidance</w:t>
            </w:r>
          </w:p>
        </w:tc>
        <w:tc>
          <w:tcPr>
            <w:tcW w:w="4464" w:type="dxa"/>
            <w:vAlign w:val="bottom"/>
          </w:tcPr>
          <w:p w:rsidR="00160E44" w:rsidRPr="00160E44" w:rsidRDefault="00160E44" w:rsidP="00160E44">
            <w:pPr>
              <w:spacing w:before="0" w:after="0"/>
              <w:jc w:val="left"/>
            </w:pPr>
            <w:r w:rsidRPr="00160E44">
              <w:t>CV306</w:t>
            </w:r>
            <w:r>
              <w:t>.</w:t>
            </w:r>
          </w:p>
        </w:tc>
      </w:tr>
      <w:tr w:rsidR="00160E44" w:rsidRPr="00160E44" w:rsidTr="00160E44">
        <w:tc>
          <w:tcPr>
            <w:tcW w:w="1188" w:type="dxa"/>
            <w:vAlign w:val="bottom"/>
          </w:tcPr>
          <w:p w:rsidR="00160E44" w:rsidRPr="00160E44" w:rsidRDefault="00160E44" w:rsidP="00160E44">
            <w:pPr>
              <w:spacing w:before="0" w:after="0"/>
              <w:jc w:val="left"/>
            </w:pPr>
            <w:r w:rsidRPr="00160E44">
              <w:t>6.18</w:t>
            </w:r>
          </w:p>
        </w:tc>
        <w:tc>
          <w:tcPr>
            <w:tcW w:w="4176" w:type="dxa"/>
            <w:vAlign w:val="bottom"/>
          </w:tcPr>
          <w:p w:rsidR="00160E44" w:rsidRPr="00160E44" w:rsidRDefault="00160E44" w:rsidP="00160E44">
            <w:pPr>
              <w:spacing w:before="0" w:after="0"/>
              <w:jc w:val="left"/>
            </w:pPr>
            <w:r w:rsidRPr="00160E44">
              <w:t>Duty of Specialist</w:t>
            </w:r>
          </w:p>
        </w:tc>
        <w:tc>
          <w:tcPr>
            <w:tcW w:w="4464" w:type="dxa"/>
            <w:vAlign w:val="bottom"/>
          </w:tcPr>
          <w:p w:rsidR="00160E44" w:rsidRPr="00160E44" w:rsidRDefault="00160E44" w:rsidP="00160E44">
            <w:pPr>
              <w:spacing w:before="0" w:after="0"/>
              <w:jc w:val="left"/>
            </w:pPr>
            <w:r>
              <w:t>Deleted.</w:t>
            </w:r>
            <w:r w:rsidRPr="00160E44">
              <w:t xml:space="preserve"> </w:t>
            </w:r>
            <w:r>
              <w:t>U</w:t>
            </w:r>
            <w:r w:rsidRPr="00160E44">
              <w:t>se CV301B. The Committee determined that an historical instruction solely devoted to “specialists” is unnecessary in this age of board certification and the decline of the “general practitioner.”</w:t>
            </w:r>
          </w:p>
        </w:tc>
      </w:tr>
      <w:tr w:rsidR="00160E44" w:rsidRPr="00160E44" w:rsidTr="00160E44">
        <w:tc>
          <w:tcPr>
            <w:tcW w:w="1188" w:type="dxa"/>
            <w:vAlign w:val="bottom"/>
          </w:tcPr>
          <w:p w:rsidR="00160E44" w:rsidRPr="00160E44" w:rsidRDefault="00160E44" w:rsidP="00160E44">
            <w:pPr>
              <w:spacing w:before="0" w:after="0"/>
              <w:jc w:val="left"/>
            </w:pPr>
            <w:r w:rsidRPr="00160E44">
              <w:t>6.19</w:t>
            </w:r>
          </w:p>
        </w:tc>
        <w:tc>
          <w:tcPr>
            <w:tcW w:w="4176" w:type="dxa"/>
            <w:vAlign w:val="bottom"/>
          </w:tcPr>
          <w:p w:rsidR="00160E44" w:rsidRPr="00160E44" w:rsidRDefault="00160E44" w:rsidP="00160E44">
            <w:pPr>
              <w:spacing w:before="0" w:after="0"/>
              <w:jc w:val="left"/>
            </w:pPr>
            <w:r w:rsidRPr="00160E44">
              <w:t>Standard of Nationally-Trained Specialist</w:t>
            </w:r>
          </w:p>
        </w:tc>
        <w:tc>
          <w:tcPr>
            <w:tcW w:w="4464" w:type="dxa"/>
            <w:vAlign w:val="bottom"/>
          </w:tcPr>
          <w:p w:rsidR="00160E44" w:rsidRPr="00160E44" w:rsidRDefault="00160E44" w:rsidP="00160E44">
            <w:pPr>
              <w:spacing w:before="0" w:after="0"/>
              <w:jc w:val="left"/>
            </w:pPr>
            <w:r>
              <w:t>Deleted. U</w:t>
            </w:r>
            <w:r w:rsidRPr="00160E44">
              <w:t>se CV301B, and see preceding note.</w:t>
            </w:r>
          </w:p>
        </w:tc>
      </w:tr>
      <w:tr w:rsidR="00160E44" w:rsidRPr="00160E44" w:rsidTr="00160E44">
        <w:tc>
          <w:tcPr>
            <w:tcW w:w="1188" w:type="dxa"/>
            <w:vAlign w:val="bottom"/>
          </w:tcPr>
          <w:p w:rsidR="00160E44" w:rsidRPr="00160E44" w:rsidRDefault="00160E44" w:rsidP="00160E44">
            <w:pPr>
              <w:spacing w:before="0" w:after="0"/>
              <w:jc w:val="left"/>
            </w:pPr>
            <w:r w:rsidRPr="00160E44">
              <w:t>6.20</w:t>
            </w:r>
          </w:p>
        </w:tc>
        <w:tc>
          <w:tcPr>
            <w:tcW w:w="4176" w:type="dxa"/>
            <w:vAlign w:val="bottom"/>
          </w:tcPr>
          <w:p w:rsidR="00160E44" w:rsidRPr="00160E44" w:rsidRDefault="00160E44" w:rsidP="00160E44">
            <w:pPr>
              <w:spacing w:before="0" w:after="0"/>
              <w:jc w:val="left"/>
            </w:pPr>
            <w:r w:rsidRPr="00160E44">
              <w:t>Duty of Hospital Toward Patient</w:t>
            </w:r>
          </w:p>
        </w:tc>
        <w:tc>
          <w:tcPr>
            <w:tcW w:w="4464" w:type="dxa"/>
            <w:vAlign w:val="bottom"/>
          </w:tcPr>
          <w:p w:rsidR="00160E44" w:rsidRPr="00160E44" w:rsidRDefault="00160E44" w:rsidP="00160E44">
            <w:pPr>
              <w:spacing w:before="0" w:after="0"/>
              <w:jc w:val="left"/>
            </w:pPr>
            <w:r w:rsidRPr="00160E44">
              <w:t>CV307</w:t>
            </w:r>
            <w:r>
              <w:t>.</w:t>
            </w:r>
          </w:p>
        </w:tc>
      </w:tr>
      <w:tr w:rsidR="00160E44" w:rsidRPr="00160E44" w:rsidTr="00160E44">
        <w:tc>
          <w:tcPr>
            <w:tcW w:w="1188" w:type="dxa"/>
            <w:vAlign w:val="bottom"/>
          </w:tcPr>
          <w:p w:rsidR="00160E44" w:rsidRPr="00160E44" w:rsidRDefault="00160E44" w:rsidP="00160E44">
            <w:pPr>
              <w:spacing w:before="0" w:after="0"/>
              <w:jc w:val="left"/>
            </w:pPr>
            <w:r w:rsidRPr="00160E44">
              <w:t>6.21</w:t>
            </w:r>
          </w:p>
        </w:tc>
        <w:tc>
          <w:tcPr>
            <w:tcW w:w="4176" w:type="dxa"/>
            <w:vAlign w:val="bottom"/>
          </w:tcPr>
          <w:p w:rsidR="00160E44" w:rsidRPr="00160E44" w:rsidRDefault="00160E44" w:rsidP="00160E44">
            <w:pPr>
              <w:spacing w:before="0" w:after="0"/>
              <w:jc w:val="left"/>
            </w:pPr>
            <w:r w:rsidRPr="00160E44">
              <w:t>Duty Owed By Nurse to Patient</w:t>
            </w:r>
          </w:p>
        </w:tc>
        <w:tc>
          <w:tcPr>
            <w:tcW w:w="4464" w:type="dxa"/>
            <w:vAlign w:val="bottom"/>
          </w:tcPr>
          <w:p w:rsidR="00160E44" w:rsidRPr="00160E44" w:rsidRDefault="00160E44" w:rsidP="00160E44">
            <w:pPr>
              <w:spacing w:before="0" w:after="0"/>
              <w:jc w:val="left"/>
            </w:pPr>
            <w:r w:rsidRPr="00160E44">
              <w:t>CV302</w:t>
            </w:r>
            <w:r>
              <w:t>.</w:t>
            </w:r>
          </w:p>
        </w:tc>
      </w:tr>
      <w:tr w:rsidR="00160E44" w:rsidRPr="00160E44" w:rsidTr="00160E44">
        <w:tc>
          <w:tcPr>
            <w:tcW w:w="1188" w:type="dxa"/>
            <w:vAlign w:val="bottom"/>
          </w:tcPr>
          <w:p w:rsidR="00160E44" w:rsidRPr="00160E44" w:rsidRDefault="00160E44" w:rsidP="00160E44">
            <w:pPr>
              <w:spacing w:before="0" w:after="0"/>
              <w:jc w:val="left"/>
            </w:pPr>
            <w:r w:rsidRPr="00160E44">
              <w:t>6.22</w:t>
            </w:r>
          </w:p>
        </w:tc>
        <w:tc>
          <w:tcPr>
            <w:tcW w:w="4176" w:type="dxa"/>
            <w:vAlign w:val="bottom"/>
          </w:tcPr>
          <w:p w:rsidR="00160E44" w:rsidRPr="00160E44" w:rsidRDefault="00160E44" w:rsidP="00160E44">
            <w:pPr>
              <w:spacing w:before="0" w:after="0"/>
              <w:jc w:val="left"/>
            </w:pPr>
            <w:r w:rsidRPr="00160E44">
              <w:t>Care Owed By Nurse Under Varying Circumstances</w:t>
            </w:r>
          </w:p>
        </w:tc>
        <w:tc>
          <w:tcPr>
            <w:tcW w:w="4464" w:type="dxa"/>
            <w:vAlign w:val="bottom"/>
          </w:tcPr>
          <w:p w:rsidR="00160E44" w:rsidRPr="00160E44" w:rsidRDefault="00160E44" w:rsidP="00160E44">
            <w:pPr>
              <w:spacing w:before="0" w:after="0"/>
              <w:jc w:val="left"/>
            </w:pPr>
            <w:r w:rsidRPr="00160E44">
              <w:t>CV303</w:t>
            </w:r>
            <w:r>
              <w:t>.</w:t>
            </w:r>
          </w:p>
        </w:tc>
      </w:tr>
      <w:tr w:rsidR="00160E44" w:rsidRPr="00160E44" w:rsidTr="00160E44">
        <w:tc>
          <w:tcPr>
            <w:tcW w:w="1188" w:type="dxa"/>
            <w:vAlign w:val="bottom"/>
          </w:tcPr>
          <w:p w:rsidR="00160E44" w:rsidRPr="00160E44" w:rsidRDefault="00160E44" w:rsidP="00160E44">
            <w:pPr>
              <w:spacing w:before="0" w:after="0"/>
              <w:jc w:val="left"/>
            </w:pPr>
            <w:r w:rsidRPr="00160E44">
              <w:t>6.23</w:t>
            </w:r>
          </w:p>
        </w:tc>
        <w:tc>
          <w:tcPr>
            <w:tcW w:w="4176" w:type="dxa"/>
            <w:vAlign w:val="bottom"/>
          </w:tcPr>
          <w:p w:rsidR="00160E44" w:rsidRPr="00160E44" w:rsidRDefault="00160E44" w:rsidP="00160E44">
            <w:pPr>
              <w:spacing w:before="0" w:after="0"/>
              <w:jc w:val="left"/>
            </w:pPr>
            <w:r w:rsidRPr="00160E44">
              <w:t xml:space="preserve">Negligence of Patient- Failure to Follow </w:t>
            </w:r>
            <w:r w:rsidRPr="00160E44">
              <w:lastRenderedPageBreak/>
              <w:t>Practitioner’s Instructions</w:t>
            </w:r>
          </w:p>
        </w:tc>
        <w:tc>
          <w:tcPr>
            <w:tcW w:w="4464" w:type="dxa"/>
            <w:vAlign w:val="bottom"/>
          </w:tcPr>
          <w:p w:rsidR="00160E44" w:rsidRPr="00160E44" w:rsidRDefault="00160E44" w:rsidP="00160E44">
            <w:pPr>
              <w:spacing w:before="0" w:after="0"/>
              <w:jc w:val="left"/>
            </w:pPr>
            <w:r w:rsidRPr="00160E44">
              <w:lastRenderedPageBreak/>
              <w:t>CV321</w:t>
            </w:r>
            <w:r>
              <w:t>.</w:t>
            </w:r>
          </w:p>
        </w:tc>
      </w:tr>
      <w:tr w:rsidR="00160E44" w:rsidRPr="00160E44" w:rsidTr="00160E44">
        <w:tc>
          <w:tcPr>
            <w:tcW w:w="1188" w:type="dxa"/>
            <w:vAlign w:val="bottom"/>
          </w:tcPr>
          <w:p w:rsidR="00160E44" w:rsidRPr="00160E44" w:rsidRDefault="00160E44" w:rsidP="00160E44">
            <w:pPr>
              <w:spacing w:before="0" w:after="0"/>
              <w:jc w:val="left"/>
            </w:pPr>
            <w:r w:rsidRPr="00160E44">
              <w:lastRenderedPageBreak/>
              <w:t>6.24</w:t>
            </w:r>
          </w:p>
        </w:tc>
        <w:tc>
          <w:tcPr>
            <w:tcW w:w="4176" w:type="dxa"/>
            <w:vAlign w:val="bottom"/>
          </w:tcPr>
          <w:p w:rsidR="00160E44" w:rsidRPr="00160E44" w:rsidRDefault="00160E44" w:rsidP="00160E44">
            <w:pPr>
              <w:spacing w:before="0" w:after="0"/>
              <w:jc w:val="left"/>
            </w:pPr>
            <w:r w:rsidRPr="00160E44">
              <w:t>Patient May Rely on Physician Advice</w:t>
            </w:r>
          </w:p>
        </w:tc>
        <w:tc>
          <w:tcPr>
            <w:tcW w:w="4464" w:type="dxa"/>
            <w:vAlign w:val="bottom"/>
          </w:tcPr>
          <w:p w:rsidR="00160E44" w:rsidRPr="00160E44" w:rsidRDefault="00160E44" w:rsidP="00160E44">
            <w:pPr>
              <w:spacing w:before="0" w:after="0"/>
              <w:jc w:val="left"/>
            </w:pPr>
            <w:r w:rsidRPr="00160E44">
              <w:t>CV329</w:t>
            </w:r>
            <w:r>
              <w:t>.</w:t>
            </w:r>
          </w:p>
        </w:tc>
      </w:tr>
      <w:tr w:rsidR="00160E44" w:rsidRPr="00160E44" w:rsidTr="00160E44">
        <w:tc>
          <w:tcPr>
            <w:tcW w:w="1188" w:type="dxa"/>
            <w:vAlign w:val="bottom"/>
          </w:tcPr>
          <w:p w:rsidR="00160E44" w:rsidRPr="00160E44" w:rsidRDefault="00160E44" w:rsidP="00160E44">
            <w:pPr>
              <w:spacing w:before="0" w:after="0"/>
              <w:jc w:val="left"/>
            </w:pPr>
            <w:r w:rsidRPr="00160E44">
              <w:t>6.25</w:t>
            </w:r>
          </w:p>
        </w:tc>
        <w:tc>
          <w:tcPr>
            <w:tcW w:w="4176" w:type="dxa"/>
            <w:vAlign w:val="bottom"/>
          </w:tcPr>
          <w:p w:rsidR="00160E44" w:rsidRPr="00160E44" w:rsidRDefault="00160E44" w:rsidP="00160E44">
            <w:pPr>
              <w:spacing w:before="0" w:after="0"/>
              <w:jc w:val="left"/>
            </w:pPr>
            <w:r w:rsidRPr="00160E44">
              <w:t>Patient Negligence- Medical History</w:t>
            </w:r>
          </w:p>
        </w:tc>
        <w:tc>
          <w:tcPr>
            <w:tcW w:w="4464" w:type="dxa"/>
            <w:vAlign w:val="bottom"/>
          </w:tcPr>
          <w:p w:rsidR="00160E44" w:rsidRPr="00160E44" w:rsidRDefault="00160E44" w:rsidP="00160E44">
            <w:pPr>
              <w:spacing w:before="0" w:after="0"/>
              <w:jc w:val="left"/>
            </w:pPr>
            <w:r w:rsidRPr="00160E44">
              <w:t>CV322</w:t>
            </w:r>
            <w:r>
              <w:t>.</w:t>
            </w:r>
          </w:p>
        </w:tc>
      </w:tr>
      <w:tr w:rsidR="00160E44" w:rsidRPr="00160E44" w:rsidTr="00160E44">
        <w:tc>
          <w:tcPr>
            <w:tcW w:w="1188" w:type="dxa"/>
            <w:vAlign w:val="bottom"/>
          </w:tcPr>
          <w:p w:rsidR="00160E44" w:rsidRPr="00160E44" w:rsidRDefault="00160E44" w:rsidP="00160E44">
            <w:pPr>
              <w:spacing w:before="0" w:after="0"/>
              <w:jc w:val="left"/>
            </w:pPr>
            <w:r w:rsidRPr="00160E44">
              <w:t>6.26</w:t>
            </w:r>
          </w:p>
        </w:tc>
        <w:tc>
          <w:tcPr>
            <w:tcW w:w="4176" w:type="dxa"/>
            <w:vAlign w:val="bottom"/>
          </w:tcPr>
          <w:p w:rsidR="00160E44" w:rsidRPr="00160E44" w:rsidRDefault="00160E44" w:rsidP="00160E44">
            <w:pPr>
              <w:spacing w:before="0" w:after="0"/>
              <w:jc w:val="left"/>
            </w:pPr>
            <w:r w:rsidRPr="00160E44">
              <w:t>Duty to Volunteer Medical Information</w:t>
            </w:r>
          </w:p>
        </w:tc>
        <w:tc>
          <w:tcPr>
            <w:tcW w:w="4464" w:type="dxa"/>
            <w:vAlign w:val="bottom"/>
          </w:tcPr>
          <w:p w:rsidR="00160E44" w:rsidRPr="00160E44" w:rsidRDefault="00160E44" w:rsidP="00160E44">
            <w:pPr>
              <w:spacing w:before="0" w:after="0"/>
              <w:jc w:val="left"/>
            </w:pPr>
            <w:r w:rsidRPr="00160E44">
              <w:t>Deleted. Use CV322.</w:t>
            </w:r>
          </w:p>
        </w:tc>
      </w:tr>
      <w:tr w:rsidR="00160E44" w:rsidRPr="00160E44" w:rsidTr="00160E44">
        <w:tc>
          <w:tcPr>
            <w:tcW w:w="1188" w:type="dxa"/>
            <w:vAlign w:val="bottom"/>
          </w:tcPr>
          <w:p w:rsidR="00160E44" w:rsidRPr="00160E44" w:rsidRDefault="00160E44" w:rsidP="00160E44">
            <w:pPr>
              <w:spacing w:before="0" w:after="0"/>
              <w:jc w:val="left"/>
            </w:pPr>
            <w:r w:rsidRPr="00160E44">
              <w:t>6.27</w:t>
            </w:r>
          </w:p>
        </w:tc>
        <w:tc>
          <w:tcPr>
            <w:tcW w:w="4176" w:type="dxa"/>
            <w:vAlign w:val="bottom"/>
          </w:tcPr>
          <w:p w:rsidR="00160E44" w:rsidRPr="00160E44" w:rsidRDefault="00160E44" w:rsidP="00160E44">
            <w:pPr>
              <w:spacing w:before="0" w:after="0"/>
              <w:jc w:val="left"/>
            </w:pPr>
            <w:r w:rsidRPr="00160E44">
              <w:t>Physician Not Guarantor of Results</w:t>
            </w:r>
          </w:p>
        </w:tc>
        <w:tc>
          <w:tcPr>
            <w:tcW w:w="4464" w:type="dxa"/>
            <w:vAlign w:val="bottom"/>
          </w:tcPr>
          <w:p w:rsidR="00160E44" w:rsidRPr="00160E44" w:rsidRDefault="00160E44" w:rsidP="00160E44">
            <w:pPr>
              <w:spacing w:before="0" w:after="0"/>
              <w:jc w:val="left"/>
            </w:pPr>
            <w:r w:rsidRPr="00160E44">
              <w:t>Deleted. See, Green v. Louder, 2001 UT 62, 29 P.3d 638 (“The mere fact that an accident or injury occurred does not support a conclusion that the defendant or any other party was at fault or negligent” was an inappropriate instruction) and Randle v. Allen, 863 P.2d 1329 (“Even if such an accident could have been avoided by the exercise of exceptional foresight, skill or caution, still no one may be held liable for injuries resulting from it” also inappropriate.)  Randle noted that these types of instructions divert the jury from the primary issue of negligence and create the impression of "extra hurdles" to be overcome in order to prevail.  It also noted that such instructions reemphasize a defendant's theory of the case and may constitute improper judicial comment on the evidence. 862 P.2d 1335-6.</w:t>
            </w:r>
          </w:p>
        </w:tc>
      </w:tr>
      <w:tr w:rsidR="00160E44" w:rsidRPr="00160E44" w:rsidTr="00160E44">
        <w:tc>
          <w:tcPr>
            <w:tcW w:w="1188" w:type="dxa"/>
            <w:vAlign w:val="bottom"/>
          </w:tcPr>
          <w:p w:rsidR="00160E44" w:rsidRPr="00160E44" w:rsidRDefault="00160E44" w:rsidP="00160E44">
            <w:pPr>
              <w:spacing w:before="0" w:after="0"/>
              <w:jc w:val="left"/>
            </w:pPr>
            <w:r w:rsidRPr="00160E44">
              <w:t>6.28</w:t>
            </w:r>
          </w:p>
        </w:tc>
        <w:tc>
          <w:tcPr>
            <w:tcW w:w="4176" w:type="dxa"/>
            <w:vAlign w:val="bottom"/>
          </w:tcPr>
          <w:p w:rsidR="00160E44" w:rsidRPr="00160E44" w:rsidRDefault="00160E44" w:rsidP="00160E44">
            <w:pPr>
              <w:spacing w:before="0" w:after="0"/>
              <w:jc w:val="left"/>
            </w:pPr>
            <w:r w:rsidRPr="00160E44">
              <w:t>Physician May Assume Hospital Compliance with Orders</w:t>
            </w:r>
          </w:p>
        </w:tc>
        <w:tc>
          <w:tcPr>
            <w:tcW w:w="4464" w:type="dxa"/>
            <w:vAlign w:val="bottom"/>
          </w:tcPr>
          <w:p w:rsidR="00160E44" w:rsidRPr="00160E44" w:rsidRDefault="00160E44" w:rsidP="00160E44">
            <w:pPr>
              <w:spacing w:before="0" w:after="0"/>
              <w:jc w:val="left"/>
            </w:pPr>
            <w:r w:rsidRPr="00160E44">
              <w:t>CV308.</w:t>
            </w:r>
          </w:p>
        </w:tc>
      </w:tr>
      <w:tr w:rsidR="00160E44" w:rsidRPr="00160E44" w:rsidTr="00160E44">
        <w:tc>
          <w:tcPr>
            <w:tcW w:w="1188" w:type="dxa"/>
            <w:vAlign w:val="bottom"/>
          </w:tcPr>
          <w:p w:rsidR="00160E44" w:rsidRPr="00160E44" w:rsidRDefault="00160E44" w:rsidP="00160E44">
            <w:pPr>
              <w:spacing w:before="0" w:after="0"/>
              <w:jc w:val="left"/>
            </w:pPr>
            <w:r w:rsidRPr="00160E44">
              <w:t>6.29</w:t>
            </w:r>
          </w:p>
        </w:tc>
        <w:tc>
          <w:tcPr>
            <w:tcW w:w="4176" w:type="dxa"/>
            <w:vAlign w:val="bottom"/>
          </w:tcPr>
          <w:p w:rsidR="00160E44" w:rsidRPr="00160E44" w:rsidRDefault="00160E44" w:rsidP="00160E44">
            <w:pPr>
              <w:spacing w:before="0" w:after="0"/>
              <w:jc w:val="left"/>
            </w:pPr>
            <w:r w:rsidRPr="00160E44">
              <w:t>Use of Alternative Treatment Methods</w:t>
            </w:r>
          </w:p>
        </w:tc>
        <w:tc>
          <w:tcPr>
            <w:tcW w:w="4464" w:type="dxa"/>
            <w:vAlign w:val="bottom"/>
          </w:tcPr>
          <w:p w:rsidR="00160E44" w:rsidRPr="00160E44" w:rsidRDefault="00160E44" w:rsidP="00160E44">
            <w:pPr>
              <w:spacing w:before="0" w:after="0"/>
              <w:jc w:val="left"/>
            </w:pPr>
            <w:r w:rsidRPr="00160E44">
              <w:t>CV324.</w:t>
            </w:r>
          </w:p>
        </w:tc>
      </w:tr>
      <w:tr w:rsidR="00160E44" w:rsidRPr="00160E44" w:rsidTr="00160E44">
        <w:tc>
          <w:tcPr>
            <w:tcW w:w="1188" w:type="dxa"/>
            <w:vAlign w:val="bottom"/>
          </w:tcPr>
          <w:p w:rsidR="00160E44" w:rsidRPr="00160E44" w:rsidRDefault="00160E44" w:rsidP="00160E44">
            <w:pPr>
              <w:spacing w:before="0" w:after="0"/>
              <w:jc w:val="left"/>
            </w:pPr>
            <w:r w:rsidRPr="00160E44">
              <w:t>6.30</w:t>
            </w:r>
          </w:p>
        </w:tc>
        <w:tc>
          <w:tcPr>
            <w:tcW w:w="4176" w:type="dxa"/>
            <w:vAlign w:val="bottom"/>
          </w:tcPr>
          <w:p w:rsidR="00160E44" w:rsidRPr="00160E44" w:rsidRDefault="00160E44" w:rsidP="00160E44">
            <w:pPr>
              <w:spacing w:before="0" w:after="0"/>
              <w:jc w:val="left"/>
            </w:pPr>
            <w:r w:rsidRPr="00160E44">
              <w:t>Out of State/Town Experts</w:t>
            </w:r>
          </w:p>
        </w:tc>
        <w:tc>
          <w:tcPr>
            <w:tcW w:w="4464" w:type="dxa"/>
            <w:vAlign w:val="bottom"/>
          </w:tcPr>
          <w:p w:rsidR="00160E44" w:rsidRPr="00160E44" w:rsidRDefault="00160E44" w:rsidP="00160E44">
            <w:pPr>
              <w:spacing w:before="0" w:after="0"/>
              <w:jc w:val="left"/>
            </w:pPr>
            <w:r w:rsidRPr="00160E44">
              <w:t>Deleted. Use CV135.</w:t>
            </w:r>
          </w:p>
        </w:tc>
      </w:tr>
      <w:tr w:rsidR="00160E44" w:rsidRPr="00160E44" w:rsidTr="00160E44">
        <w:tc>
          <w:tcPr>
            <w:tcW w:w="1188" w:type="dxa"/>
            <w:vAlign w:val="bottom"/>
          </w:tcPr>
          <w:p w:rsidR="00160E44" w:rsidRPr="00160E44" w:rsidRDefault="00160E44" w:rsidP="00160E44">
            <w:pPr>
              <w:spacing w:before="0" w:after="0"/>
              <w:jc w:val="left"/>
            </w:pPr>
            <w:r w:rsidRPr="00160E44">
              <w:t>6.31</w:t>
            </w:r>
          </w:p>
        </w:tc>
        <w:tc>
          <w:tcPr>
            <w:tcW w:w="4176" w:type="dxa"/>
            <w:vAlign w:val="bottom"/>
          </w:tcPr>
          <w:p w:rsidR="00160E44" w:rsidRPr="00160E44" w:rsidRDefault="00160E44" w:rsidP="00160E44">
            <w:pPr>
              <w:spacing w:before="0" w:after="0"/>
              <w:jc w:val="left"/>
            </w:pPr>
            <w:r w:rsidRPr="00160E44">
              <w:t>Conflict Between Medical Experts</w:t>
            </w:r>
          </w:p>
        </w:tc>
        <w:tc>
          <w:tcPr>
            <w:tcW w:w="4464" w:type="dxa"/>
            <w:vAlign w:val="bottom"/>
          </w:tcPr>
          <w:p w:rsidR="00160E44" w:rsidRPr="00160E44" w:rsidRDefault="00160E44" w:rsidP="00160E44">
            <w:pPr>
              <w:spacing w:before="0" w:after="0"/>
              <w:jc w:val="left"/>
            </w:pPr>
            <w:r w:rsidRPr="00160E44">
              <w:t>Deleted. Use CV136.</w:t>
            </w:r>
          </w:p>
        </w:tc>
      </w:tr>
      <w:tr w:rsidR="00160E44" w:rsidRPr="00160E44" w:rsidTr="00160E44">
        <w:tc>
          <w:tcPr>
            <w:tcW w:w="1188" w:type="dxa"/>
            <w:vAlign w:val="bottom"/>
          </w:tcPr>
          <w:p w:rsidR="00160E44" w:rsidRPr="00160E44" w:rsidRDefault="00160E44" w:rsidP="00160E44">
            <w:pPr>
              <w:spacing w:before="0" w:after="0"/>
              <w:jc w:val="left"/>
            </w:pPr>
            <w:r w:rsidRPr="00160E44">
              <w:t>6.32</w:t>
            </w:r>
          </w:p>
        </w:tc>
        <w:tc>
          <w:tcPr>
            <w:tcW w:w="4176" w:type="dxa"/>
            <w:vAlign w:val="bottom"/>
          </w:tcPr>
          <w:p w:rsidR="00160E44" w:rsidRPr="00160E44" w:rsidRDefault="00160E44" w:rsidP="00160E44">
            <w:pPr>
              <w:spacing w:before="0" w:after="0"/>
              <w:jc w:val="left"/>
            </w:pPr>
            <w:r w:rsidRPr="00160E44">
              <w:t xml:space="preserve">Res </w:t>
            </w:r>
            <w:proofErr w:type="spellStart"/>
            <w:r w:rsidRPr="00160E44">
              <w:t>Ipsa</w:t>
            </w:r>
            <w:proofErr w:type="spellEnd"/>
            <w:r w:rsidRPr="00160E44">
              <w:t xml:space="preserve"> </w:t>
            </w:r>
            <w:proofErr w:type="spellStart"/>
            <w:r w:rsidRPr="00160E44">
              <w:t>Loquitor</w:t>
            </w:r>
            <w:proofErr w:type="spellEnd"/>
          </w:p>
        </w:tc>
        <w:tc>
          <w:tcPr>
            <w:tcW w:w="4464" w:type="dxa"/>
            <w:vAlign w:val="bottom"/>
          </w:tcPr>
          <w:p w:rsidR="00160E44" w:rsidRPr="00160E44" w:rsidRDefault="00160E44" w:rsidP="00160E44">
            <w:pPr>
              <w:spacing w:before="0" w:after="0"/>
              <w:jc w:val="left"/>
            </w:pPr>
            <w:r w:rsidRPr="00160E44">
              <w:t>CV327.</w:t>
            </w:r>
          </w:p>
        </w:tc>
      </w:tr>
      <w:tr w:rsidR="00160E44" w:rsidRPr="00160E44" w:rsidTr="00160E44">
        <w:tc>
          <w:tcPr>
            <w:tcW w:w="1188" w:type="dxa"/>
            <w:vAlign w:val="bottom"/>
          </w:tcPr>
          <w:p w:rsidR="00160E44" w:rsidRPr="00160E44" w:rsidRDefault="00160E44" w:rsidP="00160E44">
            <w:pPr>
              <w:spacing w:before="0" w:after="0"/>
              <w:jc w:val="left"/>
            </w:pPr>
            <w:r w:rsidRPr="00160E44">
              <w:t>6.33</w:t>
            </w:r>
          </w:p>
        </w:tc>
        <w:tc>
          <w:tcPr>
            <w:tcW w:w="4176" w:type="dxa"/>
            <w:vAlign w:val="bottom"/>
          </w:tcPr>
          <w:p w:rsidR="00160E44" w:rsidRPr="00160E44" w:rsidRDefault="00160E44" w:rsidP="00160E44">
            <w:pPr>
              <w:spacing w:before="0" w:after="0"/>
              <w:jc w:val="left"/>
            </w:pPr>
            <w:r w:rsidRPr="00160E44">
              <w:t>Common Knowledge Eliminates Need for Expert Testimony</w:t>
            </w:r>
          </w:p>
        </w:tc>
        <w:tc>
          <w:tcPr>
            <w:tcW w:w="4464" w:type="dxa"/>
            <w:vAlign w:val="bottom"/>
          </w:tcPr>
          <w:p w:rsidR="00160E44" w:rsidRPr="00160E44" w:rsidRDefault="00160E44" w:rsidP="00160E44">
            <w:pPr>
              <w:spacing w:before="0" w:after="0"/>
              <w:jc w:val="left"/>
            </w:pPr>
            <w:r w:rsidRPr="00160E44">
              <w:t>CV328</w:t>
            </w:r>
            <w:r>
              <w:t>.</w:t>
            </w:r>
          </w:p>
        </w:tc>
      </w:tr>
      <w:tr w:rsidR="00160E44" w:rsidRPr="00160E44" w:rsidTr="00160E44">
        <w:tc>
          <w:tcPr>
            <w:tcW w:w="1188" w:type="dxa"/>
            <w:vAlign w:val="bottom"/>
          </w:tcPr>
          <w:p w:rsidR="00160E44" w:rsidRPr="00160E44" w:rsidRDefault="00160E44" w:rsidP="00160E44">
            <w:pPr>
              <w:spacing w:before="0" w:after="0"/>
              <w:jc w:val="left"/>
            </w:pPr>
            <w:r w:rsidRPr="00160E44">
              <w:t>6.34</w:t>
            </w:r>
          </w:p>
        </w:tc>
        <w:tc>
          <w:tcPr>
            <w:tcW w:w="4176" w:type="dxa"/>
            <w:vAlign w:val="bottom"/>
          </w:tcPr>
          <w:p w:rsidR="00160E44" w:rsidRPr="00160E44" w:rsidRDefault="00160E44" w:rsidP="00160E44">
            <w:pPr>
              <w:spacing w:before="0" w:after="0"/>
              <w:jc w:val="left"/>
            </w:pPr>
            <w:r w:rsidRPr="00160E44">
              <w:t>Proof of Medical Causation Required</w:t>
            </w:r>
          </w:p>
        </w:tc>
        <w:tc>
          <w:tcPr>
            <w:tcW w:w="4464" w:type="dxa"/>
            <w:vAlign w:val="bottom"/>
          </w:tcPr>
          <w:p w:rsidR="00160E44" w:rsidRPr="00160E44" w:rsidRDefault="00160E44" w:rsidP="00160E44">
            <w:pPr>
              <w:spacing w:before="0" w:after="0"/>
              <w:jc w:val="left"/>
            </w:pPr>
            <w:r w:rsidRPr="00160E44">
              <w:t>Deleted. Use CV309.</w:t>
            </w:r>
          </w:p>
        </w:tc>
      </w:tr>
      <w:tr w:rsidR="00160E44" w:rsidRPr="00160E44" w:rsidTr="00160E44">
        <w:tc>
          <w:tcPr>
            <w:tcW w:w="1188" w:type="dxa"/>
            <w:vAlign w:val="bottom"/>
          </w:tcPr>
          <w:p w:rsidR="00160E44" w:rsidRPr="00160E44" w:rsidRDefault="00160E44" w:rsidP="00160E44">
            <w:pPr>
              <w:spacing w:before="0" w:after="0"/>
              <w:jc w:val="left"/>
            </w:pPr>
            <w:r w:rsidRPr="00160E44">
              <w:t>6.35</w:t>
            </w:r>
          </w:p>
        </w:tc>
        <w:tc>
          <w:tcPr>
            <w:tcW w:w="4176" w:type="dxa"/>
            <w:vAlign w:val="bottom"/>
          </w:tcPr>
          <w:p w:rsidR="00160E44" w:rsidRPr="00160E44" w:rsidRDefault="00160E44" w:rsidP="00160E44">
            <w:pPr>
              <w:spacing w:before="0" w:after="0"/>
              <w:jc w:val="left"/>
            </w:pPr>
            <w:r w:rsidRPr="00160E44">
              <w:t>Proof Required for Proximate Cause</w:t>
            </w:r>
          </w:p>
        </w:tc>
        <w:tc>
          <w:tcPr>
            <w:tcW w:w="4464" w:type="dxa"/>
            <w:vAlign w:val="bottom"/>
          </w:tcPr>
          <w:p w:rsidR="00160E44" w:rsidRPr="00160E44" w:rsidRDefault="00160E44" w:rsidP="00160E44">
            <w:pPr>
              <w:spacing w:before="0" w:after="0"/>
              <w:jc w:val="left"/>
            </w:pPr>
            <w:r w:rsidRPr="00160E44">
              <w:t>Deleted. Use CV309.</w:t>
            </w:r>
          </w:p>
        </w:tc>
      </w:tr>
      <w:tr w:rsidR="00160E44" w:rsidRPr="00160E44" w:rsidTr="00160E44">
        <w:tc>
          <w:tcPr>
            <w:tcW w:w="1188" w:type="dxa"/>
            <w:vAlign w:val="bottom"/>
          </w:tcPr>
          <w:p w:rsidR="00160E44" w:rsidRPr="00160E44" w:rsidRDefault="00160E44" w:rsidP="00160E44">
            <w:pPr>
              <w:spacing w:before="0" w:after="0"/>
              <w:jc w:val="left"/>
            </w:pPr>
            <w:r w:rsidRPr="00160E44">
              <w:t>6.36</w:t>
            </w:r>
          </w:p>
        </w:tc>
        <w:tc>
          <w:tcPr>
            <w:tcW w:w="4176" w:type="dxa"/>
            <w:vAlign w:val="bottom"/>
          </w:tcPr>
          <w:p w:rsidR="00160E44" w:rsidRPr="00160E44" w:rsidRDefault="00160E44" w:rsidP="00160E44">
            <w:pPr>
              <w:spacing w:before="0" w:after="0"/>
              <w:jc w:val="left"/>
            </w:pPr>
            <w:r w:rsidRPr="00160E44">
              <w:t>No Recovery for Oral Promises</w:t>
            </w:r>
          </w:p>
        </w:tc>
        <w:tc>
          <w:tcPr>
            <w:tcW w:w="4464" w:type="dxa"/>
            <w:vAlign w:val="bottom"/>
          </w:tcPr>
          <w:p w:rsidR="00160E44" w:rsidRPr="00160E44" w:rsidRDefault="00160E44" w:rsidP="00160E44">
            <w:pPr>
              <w:spacing w:before="0" w:after="0"/>
              <w:jc w:val="left"/>
            </w:pPr>
            <w:r w:rsidRPr="00160E44">
              <w:t>CV330.</w:t>
            </w:r>
          </w:p>
        </w:tc>
      </w:tr>
      <w:tr w:rsidR="00160E44" w:rsidRPr="00160E44" w:rsidTr="00160E44">
        <w:tc>
          <w:tcPr>
            <w:tcW w:w="1188" w:type="dxa"/>
            <w:vAlign w:val="bottom"/>
          </w:tcPr>
          <w:p w:rsidR="00160E44" w:rsidRPr="00160E44" w:rsidRDefault="00160E44" w:rsidP="00160E44">
            <w:pPr>
              <w:spacing w:before="0" w:after="0"/>
              <w:jc w:val="left"/>
            </w:pPr>
            <w:r w:rsidRPr="00160E44">
              <w:t>6.37</w:t>
            </w:r>
          </w:p>
        </w:tc>
        <w:tc>
          <w:tcPr>
            <w:tcW w:w="4176" w:type="dxa"/>
            <w:vAlign w:val="bottom"/>
          </w:tcPr>
          <w:p w:rsidR="00160E44" w:rsidRPr="00160E44" w:rsidRDefault="00160E44" w:rsidP="00160E44">
            <w:pPr>
              <w:spacing w:before="0" w:after="0"/>
              <w:jc w:val="left"/>
            </w:pPr>
            <w:r w:rsidRPr="00160E44">
              <w:t>Discovery of an Injury</w:t>
            </w:r>
          </w:p>
        </w:tc>
        <w:tc>
          <w:tcPr>
            <w:tcW w:w="4464" w:type="dxa"/>
            <w:vAlign w:val="bottom"/>
          </w:tcPr>
          <w:p w:rsidR="00160E44" w:rsidRPr="00160E44" w:rsidRDefault="00160E44" w:rsidP="00160E44">
            <w:pPr>
              <w:spacing w:before="0" w:after="0"/>
              <w:jc w:val="left"/>
            </w:pPr>
            <w:r w:rsidRPr="00160E44">
              <w:t>CV325.</w:t>
            </w:r>
          </w:p>
        </w:tc>
      </w:tr>
    </w:tbl>
    <w:p w:rsidR="00CA1B33" w:rsidRDefault="00CA1B33" w:rsidP="00160E44"/>
    <w:sectPr w:rsidR="00CA1B33" w:rsidSect="000712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CF35CC"/>
    <w:multiLevelType w:val="multilevel"/>
    <w:tmpl w:val="2B269A96"/>
    <w:lvl w:ilvl="0">
      <w:start w:val="1"/>
      <w:numFmt w:val="decimal"/>
      <w:pStyle w:val="Heading1"/>
      <w:lvlText w:val="(%1)"/>
      <w:lvlJc w:val="left"/>
      <w:pPr>
        <w:tabs>
          <w:tab w:val="num" w:pos="360"/>
        </w:tabs>
        <w:ind w:left="0" w:firstLine="0"/>
      </w:pPr>
      <w:rPr>
        <w:rFonts w:hint="default"/>
      </w:rPr>
    </w:lvl>
    <w:lvl w:ilvl="1">
      <w:start w:val="1"/>
      <w:numFmt w:val="lowerLetter"/>
      <w:pStyle w:val="Heading2"/>
      <w:lvlText w:val="(%2)"/>
      <w:lvlJc w:val="left"/>
      <w:pPr>
        <w:tabs>
          <w:tab w:val="num" w:pos="720"/>
        </w:tabs>
        <w:ind w:left="720" w:hanging="360"/>
      </w:pPr>
      <w:rPr>
        <w:rFonts w:hint="default"/>
      </w:rPr>
    </w:lvl>
    <w:lvl w:ilvl="2">
      <w:start w:val="1"/>
      <w:numFmt w:val="lowerRoman"/>
      <w:pStyle w:val="Heading3"/>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74E82808"/>
    <w:multiLevelType w:val="hybridMultilevel"/>
    <w:tmpl w:val="D87ED278"/>
    <w:lvl w:ilvl="0" w:tplc="1390D44C">
      <w:start w:val="1"/>
      <w:numFmt w:val="upperLetter"/>
      <w:pStyle w:val="Heading4"/>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0"/>
  </w:num>
  <w:num w:numId="3">
    <w:abstractNumId w:val="0"/>
  </w:num>
  <w:num w:numId="4">
    <w:abstractNumId w:val="1"/>
  </w:num>
  <w:num w:numId="5">
    <w:abstractNumId w:val="0"/>
  </w:num>
  <w:num w:numId="6">
    <w:abstractNumId w:val="0"/>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60E44"/>
    <w:rsid w:val="000712A9"/>
    <w:rsid w:val="00105E17"/>
    <w:rsid w:val="00160E44"/>
    <w:rsid w:val="002A405F"/>
    <w:rsid w:val="00654775"/>
    <w:rsid w:val="00674895"/>
    <w:rsid w:val="006E1128"/>
    <w:rsid w:val="00741907"/>
    <w:rsid w:val="00A16E24"/>
    <w:rsid w:val="00B053DB"/>
    <w:rsid w:val="00B273F8"/>
    <w:rsid w:val="00BB56F0"/>
    <w:rsid w:val="00BC1FBF"/>
    <w:rsid w:val="00C42B1B"/>
    <w:rsid w:val="00CA1B33"/>
    <w:rsid w:val="00D51C8D"/>
    <w:rsid w:val="00DC3F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C3F7F"/>
    <w:pPr>
      <w:spacing w:before="120" w:after="120" w:line="300" w:lineRule="exact"/>
    </w:pPr>
    <w:rPr>
      <w:rFonts w:ascii="Arial" w:hAnsi="Arial" w:cs="Times New Roman"/>
      <w:kern w:val="16"/>
      <w:sz w:val="24"/>
      <w:szCs w:val="24"/>
    </w:rPr>
  </w:style>
  <w:style w:type="paragraph" w:styleId="Heading1">
    <w:name w:val="heading 1"/>
    <w:basedOn w:val="Normal"/>
    <w:next w:val="Normal"/>
    <w:link w:val="Heading1Char"/>
    <w:qFormat/>
    <w:rsid w:val="00C42B1B"/>
    <w:pPr>
      <w:keepNext/>
      <w:keepLines/>
      <w:numPr>
        <w:numId w:val="7"/>
      </w:numPr>
      <w:tabs>
        <w:tab w:val="clear" w:pos="360"/>
      </w:tabs>
      <w:spacing w:before="300"/>
      <w:ind w:left="720" w:hanging="720"/>
      <w:outlineLvl w:val="0"/>
    </w:pPr>
    <w:rPr>
      <w:b/>
      <w:szCs w:val="20"/>
    </w:rPr>
  </w:style>
  <w:style w:type="paragraph" w:styleId="Heading2">
    <w:name w:val="heading 2"/>
    <w:basedOn w:val="Normal"/>
    <w:next w:val="Normal"/>
    <w:link w:val="Heading2Char"/>
    <w:qFormat/>
    <w:rsid w:val="00C42B1B"/>
    <w:pPr>
      <w:keepNext/>
      <w:keepLines/>
      <w:numPr>
        <w:ilvl w:val="1"/>
        <w:numId w:val="7"/>
      </w:numPr>
      <w:spacing w:before="240"/>
      <w:ind w:left="1440" w:hanging="720"/>
      <w:outlineLvl w:val="1"/>
    </w:pPr>
    <w:rPr>
      <w:b/>
      <w:szCs w:val="20"/>
    </w:rPr>
  </w:style>
  <w:style w:type="paragraph" w:styleId="Heading3">
    <w:name w:val="heading 3"/>
    <w:basedOn w:val="Normal"/>
    <w:next w:val="Normal"/>
    <w:link w:val="Heading3Char"/>
    <w:qFormat/>
    <w:rsid w:val="00741907"/>
    <w:pPr>
      <w:keepNext/>
      <w:keepLines/>
      <w:numPr>
        <w:ilvl w:val="2"/>
        <w:numId w:val="7"/>
      </w:numPr>
      <w:tabs>
        <w:tab w:val="clear" w:pos="1440"/>
      </w:tabs>
      <w:spacing w:before="240"/>
      <w:ind w:left="2160" w:hanging="720"/>
      <w:outlineLvl w:val="2"/>
    </w:pPr>
    <w:rPr>
      <w:rFonts w:cs="Arial"/>
      <w:b/>
      <w:bCs/>
      <w:szCs w:val="26"/>
    </w:rPr>
  </w:style>
  <w:style w:type="paragraph" w:styleId="Heading4">
    <w:name w:val="heading 4"/>
    <w:basedOn w:val="Normal"/>
    <w:next w:val="Normal"/>
    <w:link w:val="Heading4Char"/>
    <w:qFormat/>
    <w:rsid w:val="00741907"/>
    <w:pPr>
      <w:keepNext/>
      <w:keepLines/>
      <w:numPr>
        <w:numId w:val="8"/>
      </w:numPr>
      <w:spacing w:before="240"/>
      <w:ind w:left="2880" w:hanging="72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DC3F7F"/>
    <w:pPr>
      <w:tabs>
        <w:tab w:val="center" w:pos="4320"/>
        <w:tab w:val="right" w:pos="8640"/>
      </w:tabs>
    </w:pPr>
  </w:style>
  <w:style w:type="character" w:customStyle="1" w:styleId="FooterChar">
    <w:name w:val="Footer Char"/>
    <w:basedOn w:val="DefaultParagraphFont"/>
    <w:link w:val="Footer"/>
    <w:semiHidden/>
    <w:rsid w:val="006E1128"/>
    <w:rPr>
      <w:rFonts w:ascii="Arial" w:hAnsi="Arial" w:cs="Times New Roman"/>
      <w:kern w:val="16"/>
      <w:sz w:val="24"/>
      <w:szCs w:val="24"/>
    </w:rPr>
  </w:style>
  <w:style w:type="paragraph" w:styleId="Header">
    <w:name w:val="header"/>
    <w:basedOn w:val="Normal"/>
    <w:link w:val="HeaderChar"/>
    <w:semiHidden/>
    <w:rsid w:val="00DC3F7F"/>
    <w:pPr>
      <w:tabs>
        <w:tab w:val="center" w:pos="4320"/>
        <w:tab w:val="right" w:pos="8640"/>
      </w:tabs>
    </w:pPr>
  </w:style>
  <w:style w:type="character" w:customStyle="1" w:styleId="HeaderChar">
    <w:name w:val="Header Char"/>
    <w:basedOn w:val="DefaultParagraphFont"/>
    <w:link w:val="Header"/>
    <w:semiHidden/>
    <w:rsid w:val="006E1128"/>
    <w:rPr>
      <w:rFonts w:ascii="Arial" w:hAnsi="Arial" w:cs="Times New Roman"/>
      <w:kern w:val="16"/>
      <w:sz w:val="24"/>
      <w:szCs w:val="24"/>
    </w:rPr>
  </w:style>
  <w:style w:type="character" w:customStyle="1" w:styleId="Heading1Char">
    <w:name w:val="Heading 1 Char"/>
    <w:basedOn w:val="DefaultParagraphFont"/>
    <w:link w:val="Heading1"/>
    <w:rsid w:val="00C42B1B"/>
    <w:rPr>
      <w:rFonts w:ascii="Arial" w:hAnsi="Arial" w:cs="Times New Roman"/>
      <w:b/>
      <w:kern w:val="16"/>
      <w:sz w:val="24"/>
      <w:szCs w:val="20"/>
    </w:rPr>
  </w:style>
  <w:style w:type="character" w:customStyle="1" w:styleId="Heading2Char">
    <w:name w:val="Heading 2 Char"/>
    <w:basedOn w:val="DefaultParagraphFont"/>
    <w:link w:val="Heading2"/>
    <w:rsid w:val="00C42B1B"/>
    <w:rPr>
      <w:rFonts w:ascii="Arial" w:hAnsi="Arial" w:cs="Times New Roman"/>
      <w:b/>
      <w:kern w:val="16"/>
      <w:sz w:val="24"/>
      <w:szCs w:val="20"/>
    </w:rPr>
  </w:style>
  <w:style w:type="character" w:customStyle="1" w:styleId="Heading3Char">
    <w:name w:val="Heading 3 Char"/>
    <w:basedOn w:val="DefaultParagraphFont"/>
    <w:link w:val="Heading3"/>
    <w:rsid w:val="00741907"/>
    <w:rPr>
      <w:rFonts w:ascii="Arial" w:hAnsi="Arial" w:cs="Arial"/>
      <w:b/>
      <w:bCs/>
      <w:kern w:val="16"/>
      <w:sz w:val="24"/>
      <w:szCs w:val="26"/>
    </w:rPr>
  </w:style>
  <w:style w:type="character" w:customStyle="1" w:styleId="Heading4Char">
    <w:name w:val="Heading 4 Char"/>
    <w:basedOn w:val="DefaultParagraphFont"/>
    <w:link w:val="Heading4"/>
    <w:rsid w:val="00741907"/>
    <w:rPr>
      <w:rFonts w:ascii="Arial" w:hAnsi="Arial" w:cs="Times New Roman"/>
      <w:b/>
      <w:bCs/>
      <w:kern w:val="16"/>
      <w:sz w:val="24"/>
      <w:szCs w:val="28"/>
    </w:rPr>
  </w:style>
  <w:style w:type="character" w:styleId="Hyperlink">
    <w:name w:val="Hyperlink"/>
    <w:basedOn w:val="DefaultParagraphFont"/>
    <w:uiPriority w:val="99"/>
    <w:rsid w:val="00DC3F7F"/>
    <w:rPr>
      <w:color w:val="0000FF"/>
      <w:u w:val="single"/>
    </w:rPr>
  </w:style>
  <w:style w:type="paragraph" w:styleId="NoSpacing">
    <w:name w:val="No Spacing"/>
    <w:uiPriority w:val="1"/>
    <w:qFormat/>
    <w:rsid w:val="00DC3F7F"/>
    <w:pPr>
      <w:spacing w:after="0" w:line="240" w:lineRule="auto"/>
    </w:pPr>
    <w:rPr>
      <w:rFonts w:ascii="Arial" w:hAnsi="Arial" w:cs="Times New Roman"/>
      <w:kern w:val="16"/>
      <w:sz w:val="24"/>
      <w:szCs w:val="24"/>
    </w:rPr>
  </w:style>
  <w:style w:type="character" w:styleId="PageNumber">
    <w:name w:val="page number"/>
    <w:basedOn w:val="DefaultParagraphFont"/>
    <w:semiHidden/>
    <w:rsid w:val="00DC3F7F"/>
  </w:style>
  <w:style w:type="paragraph" w:styleId="Quote">
    <w:name w:val="Quote"/>
    <w:basedOn w:val="Normal"/>
    <w:next w:val="Normal"/>
    <w:link w:val="QuoteChar"/>
    <w:uiPriority w:val="29"/>
    <w:qFormat/>
    <w:rsid w:val="00DC3F7F"/>
    <w:pPr>
      <w:ind w:left="720" w:right="720"/>
    </w:pPr>
    <w:rPr>
      <w:iCs/>
      <w:sz w:val="20"/>
    </w:rPr>
  </w:style>
  <w:style w:type="character" w:customStyle="1" w:styleId="QuoteChar">
    <w:name w:val="Quote Char"/>
    <w:basedOn w:val="DefaultParagraphFont"/>
    <w:link w:val="Quote"/>
    <w:uiPriority w:val="29"/>
    <w:rsid w:val="006E1128"/>
    <w:rPr>
      <w:rFonts w:ascii="Arial" w:hAnsi="Arial" w:cs="Times New Roman"/>
      <w:iCs/>
      <w:kern w:val="16"/>
      <w:sz w:val="20"/>
      <w:szCs w:val="24"/>
    </w:rPr>
  </w:style>
  <w:style w:type="paragraph" w:styleId="Signature">
    <w:name w:val="Signature"/>
    <w:basedOn w:val="Normal"/>
    <w:link w:val="SignatureChar"/>
    <w:semiHidden/>
    <w:rsid w:val="00DC3F7F"/>
    <w:pPr>
      <w:ind w:left="4320"/>
    </w:pPr>
  </w:style>
  <w:style w:type="character" w:customStyle="1" w:styleId="SignatureChar">
    <w:name w:val="Signature Char"/>
    <w:basedOn w:val="DefaultParagraphFont"/>
    <w:link w:val="Signature"/>
    <w:semiHidden/>
    <w:rsid w:val="006E1128"/>
    <w:rPr>
      <w:rFonts w:ascii="Arial" w:hAnsi="Arial" w:cs="Times New Roman"/>
      <w:kern w:val="16"/>
      <w:sz w:val="24"/>
      <w:szCs w:val="24"/>
    </w:rPr>
  </w:style>
  <w:style w:type="paragraph" w:styleId="Title">
    <w:name w:val="Title"/>
    <w:basedOn w:val="Normal"/>
    <w:next w:val="Normal"/>
    <w:link w:val="TitleChar"/>
    <w:uiPriority w:val="10"/>
    <w:qFormat/>
    <w:rsid w:val="00DC3F7F"/>
    <w:pPr>
      <w:keepNext/>
      <w:keepLines/>
      <w:pBdr>
        <w:bottom w:val="single" w:sz="8" w:space="1" w:color="auto"/>
      </w:pBdr>
      <w:spacing w:before="0" w:after="300"/>
      <w:outlineLvl w:val="0"/>
    </w:pPr>
    <w:rPr>
      <w:rFonts w:eastAsiaTheme="majorEastAsia" w:cstheme="majorBidi"/>
      <w:b/>
      <w:bCs/>
      <w:szCs w:val="32"/>
    </w:rPr>
  </w:style>
  <w:style w:type="character" w:customStyle="1" w:styleId="TitleChar">
    <w:name w:val="Title Char"/>
    <w:basedOn w:val="DefaultParagraphFont"/>
    <w:link w:val="Title"/>
    <w:uiPriority w:val="10"/>
    <w:rsid w:val="006E1128"/>
    <w:rPr>
      <w:rFonts w:ascii="Arial" w:eastAsiaTheme="majorEastAsia" w:hAnsi="Arial" w:cstheme="majorBidi"/>
      <w:b/>
      <w:bCs/>
      <w:kern w:val="16"/>
      <w:sz w:val="24"/>
      <w:szCs w:val="32"/>
    </w:rPr>
  </w:style>
  <w:style w:type="paragraph" w:styleId="TOC1">
    <w:name w:val="toc 1"/>
    <w:basedOn w:val="Normal"/>
    <w:next w:val="Normal"/>
    <w:autoRedefine/>
    <w:uiPriority w:val="39"/>
    <w:rsid w:val="00DC3F7F"/>
  </w:style>
  <w:style w:type="paragraph" w:styleId="TOC2">
    <w:name w:val="toc 2"/>
    <w:basedOn w:val="Normal"/>
    <w:next w:val="Normal"/>
    <w:autoRedefine/>
    <w:uiPriority w:val="39"/>
    <w:rsid w:val="00DC3F7F"/>
    <w:pPr>
      <w:ind w:left="240"/>
    </w:pPr>
  </w:style>
  <w:style w:type="paragraph" w:styleId="TOC3">
    <w:name w:val="toc 3"/>
    <w:basedOn w:val="Normal"/>
    <w:next w:val="Normal"/>
    <w:autoRedefine/>
    <w:semiHidden/>
    <w:rsid w:val="00DC3F7F"/>
    <w:pPr>
      <w:ind w:left="480"/>
    </w:pPr>
  </w:style>
  <w:style w:type="paragraph" w:styleId="TOC4">
    <w:name w:val="toc 4"/>
    <w:basedOn w:val="Normal"/>
    <w:next w:val="Normal"/>
    <w:autoRedefine/>
    <w:semiHidden/>
    <w:rsid w:val="00DC3F7F"/>
    <w:pPr>
      <w:ind w:left="720"/>
    </w:pPr>
  </w:style>
  <w:style w:type="paragraph" w:styleId="BalloonText">
    <w:name w:val="Balloon Text"/>
    <w:basedOn w:val="Normal"/>
    <w:link w:val="BalloonTextChar"/>
    <w:semiHidden/>
    <w:rsid w:val="00DC3F7F"/>
    <w:rPr>
      <w:rFonts w:ascii="Tahoma" w:hAnsi="Tahoma" w:cs="Tahoma"/>
      <w:sz w:val="16"/>
      <w:szCs w:val="16"/>
    </w:rPr>
  </w:style>
  <w:style w:type="character" w:customStyle="1" w:styleId="BalloonTextChar">
    <w:name w:val="Balloon Text Char"/>
    <w:basedOn w:val="DefaultParagraphFont"/>
    <w:link w:val="BalloonText"/>
    <w:semiHidden/>
    <w:rsid w:val="00DC3F7F"/>
    <w:rPr>
      <w:rFonts w:ascii="Tahoma" w:hAnsi="Tahoma" w:cs="Tahoma"/>
      <w:kern w:val="16"/>
      <w:sz w:val="16"/>
      <w:szCs w:val="16"/>
    </w:rPr>
  </w:style>
  <w:style w:type="paragraph" w:styleId="BodyText">
    <w:name w:val="Body Text"/>
    <w:basedOn w:val="Normal"/>
    <w:link w:val="BodyTextChar"/>
    <w:semiHidden/>
    <w:rsid w:val="00DC3F7F"/>
    <w:rPr>
      <w:rFonts w:cs="Arial"/>
    </w:rPr>
  </w:style>
  <w:style w:type="character" w:customStyle="1" w:styleId="BodyTextChar">
    <w:name w:val="Body Text Char"/>
    <w:basedOn w:val="DefaultParagraphFont"/>
    <w:link w:val="BodyText"/>
    <w:semiHidden/>
    <w:rsid w:val="00DC3F7F"/>
    <w:rPr>
      <w:rFonts w:ascii="Arial" w:hAnsi="Arial" w:cs="Arial"/>
      <w:kern w:val="16"/>
      <w:sz w:val="24"/>
      <w:szCs w:val="24"/>
    </w:rPr>
  </w:style>
  <w:style w:type="paragraph" w:styleId="BodyTextIndent">
    <w:name w:val="Body Text Indent"/>
    <w:basedOn w:val="Normal"/>
    <w:link w:val="BodyTextIndentChar"/>
    <w:semiHidden/>
    <w:rsid w:val="00DC3F7F"/>
  </w:style>
  <w:style w:type="character" w:customStyle="1" w:styleId="BodyTextIndentChar">
    <w:name w:val="Body Text Indent Char"/>
    <w:basedOn w:val="DefaultParagraphFont"/>
    <w:link w:val="BodyTextIndent"/>
    <w:semiHidden/>
    <w:rsid w:val="00DC3F7F"/>
    <w:rPr>
      <w:rFonts w:ascii="Arial" w:hAnsi="Arial" w:cs="Times New Roman"/>
      <w:kern w:val="16"/>
      <w:sz w:val="24"/>
      <w:szCs w:val="24"/>
    </w:rPr>
  </w:style>
  <w:style w:type="character" w:styleId="FollowedHyperlink">
    <w:name w:val="FollowedHyperlink"/>
    <w:basedOn w:val="DefaultParagraphFont"/>
    <w:uiPriority w:val="99"/>
    <w:semiHidden/>
    <w:unhideWhenUsed/>
    <w:rsid w:val="00DC3F7F"/>
    <w:rPr>
      <w:color w:val="800080"/>
      <w:u w:val="single"/>
    </w:rPr>
  </w:style>
  <w:style w:type="paragraph" w:styleId="ListParagraph">
    <w:name w:val="List Paragraph"/>
    <w:basedOn w:val="Normal"/>
    <w:uiPriority w:val="34"/>
    <w:rsid w:val="00DC3F7F"/>
    <w:pPr>
      <w:ind w:left="720"/>
      <w:contextualSpacing/>
    </w:pPr>
    <w:rPr>
      <w:rFonts w:eastAsia="Calibri"/>
      <w:szCs w:val="22"/>
    </w:rPr>
  </w:style>
  <w:style w:type="table" w:styleId="TableGrid">
    <w:name w:val="Table Grid"/>
    <w:basedOn w:val="TableNormal"/>
    <w:uiPriority w:val="59"/>
    <w:rsid w:val="00DC3F7F"/>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5">
    <w:name w:val="toc 5"/>
    <w:basedOn w:val="Normal"/>
    <w:next w:val="Normal"/>
    <w:autoRedefine/>
    <w:semiHidden/>
    <w:rsid w:val="00DC3F7F"/>
    <w:pPr>
      <w:ind w:left="960"/>
    </w:pPr>
  </w:style>
  <w:style w:type="paragraph" w:styleId="TOC6">
    <w:name w:val="toc 6"/>
    <w:basedOn w:val="Normal"/>
    <w:next w:val="Normal"/>
    <w:autoRedefine/>
    <w:semiHidden/>
    <w:rsid w:val="00DC3F7F"/>
    <w:pPr>
      <w:ind w:left="1200"/>
    </w:pPr>
  </w:style>
  <w:style w:type="paragraph" w:styleId="TOC7">
    <w:name w:val="toc 7"/>
    <w:basedOn w:val="Normal"/>
    <w:next w:val="Normal"/>
    <w:autoRedefine/>
    <w:semiHidden/>
    <w:rsid w:val="00DC3F7F"/>
    <w:pPr>
      <w:ind w:left="1440"/>
    </w:pPr>
  </w:style>
  <w:style w:type="paragraph" w:styleId="TOC8">
    <w:name w:val="toc 8"/>
    <w:basedOn w:val="Normal"/>
    <w:next w:val="Normal"/>
    <w:autoRedefine/>
    <w:semiHidden/>
    <w:rsid w:val="00DC3F7F"/>
    <w:pPr>
      <w:ind w:left="1680"/>
    </w:pPr>
  </w:style>
  <w:style w:type="paragraph" w:styleId="TOC9">
    <w:name w:val="toc 9"/>
    <w:basedOn w:val="Normal"/>
    <w:next w:val="Normal"/>
    <w:autoRedefine/>
    <w:semiHidden/>
    <w:rsid w:val="00DC3F7F"/>
    <w:pPr>
      <w:ind w:left="19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563</Words>
  <Characters>2817</Characters>
  <Application>Microsoft Office Word</Application>
  <DocSecurity>0</DocSecurity>
  <Lines>122</Lines>
  <Paragraphs>73</Paragraphs>
  <ScaleCrop>false</ScaleCrop>
  <Company>Utah State Courts</Company>
  <LinksUpToDate>false</LinksUpToDate>
  <CharactersWithSpaces>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Shea</dc:creator>
  <cp:lastModifiedBy>Tim Shea</cp:lastModifiedBy>
  <cp:revision>3</cp:revision>
  <dcterms:created xsi:type="dcterms:W3CDTF">2011-09-07T14:57:00Z</dcterms:created>
  <dcterms:modified xsi:type="dcterms:W3CDTF">2011-09-19T19:39:00Z</dcterms:modified>
</cp:coreProperties>
</file>